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41" w:rsidRDefault="000F5941">
      <w:pPr>
        <w:pStyle w:val="SONYHeading"/>
      </w:pPr>
      <w:r>
        <w:t>STATE OF NEW YORK DEPARTMENT OF PUBLIC SERVICE</w:t>
      </w:r>
    </w:p>
    <w:p w:rsidR="000F5941" w:rsidRDefault="000F5941">
      <w:pPr>
        <w:pStyle w:val="AddressHeading"/>
      </w:pPr>
      <w:r>
        <w:t>THREE EMPIRE STATE PLAZA, ALBANY, NY  12223-1350</w:t>
      </w:r>
    </w:p>
    <w:p w:rsidR="000F5941" w:rsidRDefault="00FA663C">
      <w:pPr>
        <w:pStyle w:val="InternetHeading"/>
      </w:pPr>
      <w:r>
        <w:rPr>
          <w:noProof/>
        </w:rPr>
        <w:drawing>
          <wp:anchor distT="0" distB="0" distL="114300" distR="114300" simplePos="0" relativeHeight="251658240" behindDoc="0" locked="1" layoutInCell="0" allowOverlap="1">
            <wp:simplePos x="0" y="0"/>
            <wp:positionH relativeFrom="column">
              <wp:posOffset>2834640</wp:posOffset>
            </wp:positionH>
            <wp:positionV relativeFrom="paragraph">
              <wp:posOffset>307975</wp:posOffset>
            </wp:positionV>
            <wp:extent cx="1076325" cy="1152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76325" cy="1152525"/>
                    </a:xfrm>
                    <a:prstGeom prst="rect">
                      <a:avLst/>
                    </a:prstGeom>
                    <a:noFill/>
                  </pic:spPr>
                </pic:pic>
              </a:graphicData>
            </a:graphic>
          </wp:anchor>
        </w:drawing>
      </w:r>
      <w:r w:rsidR="000F5941">
        <w:t>www.dps.ny.gov</w:t>
      </w:r>
    </w:p>
    <w:p w:rsidR="000F5941" w:rsidRDefault="000F5941">
      <w:pPr>
        <w:jc w:val="center"/>
        <w:rPr>
          <w:sz w:val="16"/>
          <w:szCs w:val="16"/>
        </w:rPr>
      </w:pPr>
    </w:p>
    <w:p w:rsidR="000F5941" w:rsidRDefault="000F5941">
      <w:pPr>
        <w:rPr>
          <w:sz w:val="16"/>
          <w:szCs w:val="16"/>
        </w:rPr>
      </w:pPr>
    </w:p>
    <w:p w:rsidR="000F5941" w:rsidRDefault="000F5941">
      <w:pPr>
        <w:rPr>
          <w:sz w:val="16"/>
          <w:szCs w:val="16"/>
        </w:rPr>
      </w:pPr>
    </w:p>
    <w:p w:rsidR="000F5941" w:rsidRDefault="000F5941">
      <w:pPr>
        <w:rPr>
          <w:sz w:val="16"/>
          <w:szCs w:val="16"/>
        </w:rPr>
      </w:pPr>
    </w:p>
    <w:p w:rsidR="000F5941" w:rsidRDefault="000F5941">
      <w:pPr>
        <w:pStyle w:val="NamesHeading"/>
      </w:pPr>
      <w:r>
        <w:t>PUBLIC SERVICE COMMISSION</w:t>
      </w:r>
    </w:p>
    <w:p w:rsidR="000F5941" w:rsidRDefault="000F5941">
      <w:pPr>
        <w:rPr>
          <w:b/>
          <w:bCs/>
          <w:sz w:val="16"/>
          <w:szCs w:val="16"/>
        </w:rPr>
      </w:pPr>
    </w:p>
    <w:p w:rsidR="000F5941" w:rsidRDefault="000F5941" w:rsidP="00975EF1">
      <w:pPr>
        <w:pStyle w:val="NamesHeading"/>
        <w:tabs>
          <w:tab w:val="center" w:pos="720"/>
          <w:tab w:val="center" w:pos="9450"/>
        </w:tabs>
        <w:rPr>
          <w:i/>
          <w:iCs/>
        </w:rPr>
      </w:pPr>
      <w:r>
        <w:t xml:space="preserve">AUDREY ZIBELMAN </w:t>
      </w:r>
      <w:r>
        <w:rPr>
          <w:i/>
          <w:iCs/>
          <w:sz w:val="14"/>
          <w:szCs w:val="14"/>
        </w:rPr>
        <w:tab/>
      </w:r>
      <w:r>
        <w:t xml:space="preserve">PETER </w:t>
      </w:r>
      <w:proofErr w:type="spellStart"/>
      <w:r>
        <w:t>McGOWAN</w:t>
      </w:r>
      <w:proofErr w:type="spellEnd"/>
      <w:r>
        <w:rPr>
          <w:i/>
          <w:iCs/>
          <w:sz w:val="14"/>
          <w:szCs w:val="14"/>
        </w:rPr>
        <w:t xml:space="preserve"> </w:t>
      </w:r>
    </w:p>
    <w:p w:rsidR="000F5941" w:rsidRDefault="000F5941" w:rsidP="00975EF1">
      <w:pPr>
        <w:pStyle w:val="TitleHeading"/>
        <w:tabs>
          <w:tab w:val="clear" w:pos="630"/>
          <w:tab w:val="center" w:pos="720"/>
        </w:tabs>
      </w:pPr>
      <w:r>
        <w:tab/>
        <w:t>Chair</w:t>
      </w:r>
      <w:r>
        <w:tab/>
        <w:t>General Counsel</w:t>
      </w:r>
    </w:p>
    <w:p w:rsidR="000F5941" w:rsidRDefault="000F5941" w:rsidP="00975EF1">
      <w:pPr>
        <w:pStyle w:val="NamesHeading"/>
        <w:tabs>
          <w:tab w:val="center" w:pos="720"/>
          <w:tab w:val="left" w:pos="8460"/>
          <w:tab w:val="center" w:pos="9540"/>
        </w:tabs>
      </w:pPr>
      <w:r>
        <w:t>PATRICIA L. ACAMPORA</w:t>
      </w:r>
      <w:r>
        <w:tab/>
      </w:r>
    </w:p>
    <w:p w:rsidR="000F5941" w:rsidRPr="00AB5DC2" w:rsidRDefault="000F5941" w:rsidP="00975EF1">
      <w:pPr>
        <w:tabs>
          <w:tab w:val="center" w:pos="720"/>
          <w:tab w:val="center" w:pos="9540"/>
        </w:tabs>
        <w:rPr>
          <w:i/>
          <w:iCs/>
          <w:sz w:val="16"/>
          <w:szCs w:val="16"/>
        </w:rPr>
      </w:pPr>
      <w:r>
        <w:rPr>
          <w:b/>
          <w:bCs/>
          <w:sz w:val="16"/>
          <w:szCs w:val="16"/>
        </w:rPr>
        <w:t>GARRY A. BROWN</w:t>
      </w:r>
      <w:r w:rsidRPr="00AB5DC2">
        <w:rPr>
          <w:b/>
          <w:bCs/>
          <w:sz w:val="16"/>
          <w:szCs w:val="16"/>
        </w:rPr>
        <w:tab/>
      </w:r>
      <w:r>
        <w:rPr>
          <w:b/>
          <w:bCs/>
          <w:sz w:val="16"/>
          <w:szCs w:val="16"/>
        </w:rPr>
        <w:t>KATHLEEN H</w:t>
      </w:r>
      <w:r w:rsidRPr="00045302">
        <w:rPr>
          <w:b/>
          <w:bCs/>
          <w:sz w:val="16"/>
          <w:szCs w:val="16"/>
        </w:rPr>
        <w:t>.</w:t>
      </w:r>
      <w:r>
        <w:rPr>
          <w:b/>
          <w:bCs/>
          <w:sz w:val="16"/>
          <w:szCs w:val="16"/>
        </w:rPr>
        <w:t xml:space="preserve"> BURGESS</w:t>
      </w:r>
    </w:p>
    <w:p w:rsidR="000F5941" w:rsidRDefault="000F5941" w:rsidP="006E12D2">
      <w:pPr>
        <w:tabs>
          <w:tab w:val="center" w:pos="720"/>
          <w:tab w:val="center" w:pos="9540"/>
        </w:tabs>
        <w:rPr>
          <w:i/>
          <w:iCs/>
          <w:sz w:val="16"/>
          <w:szCs w:val="16"/>
        </w:rPr>
      </w:pPr>
      <w:r>
        <w:rPr>
          <w:b/>
          <w:bCs/>
          <w:sz w:val="16"/>
          <w:szCs w:val="16"/>
        </w:rPr>
        <w:t>GREGG C. SAYRE</w:t>
      </w:r>
      <w:r>
        <w:rPr>
          <w:b/>
          <w:bCs/>
          <w:sz w:val="16"/>
          <w:szCs w:val="16"/>
        </w:rPr>
        <w:tab/>
      </w:r>
      <w:r>
        <w:rPr>
          <w:i/>
          <w:iCs/>
          <w:sz w:val="16"/>
          <w:szCs w:val="16"/>
        </w:rPr>
        <w:t xml:space="preserve"> S</w:t>
      </w:r>
      <w:r w:rsidRPr="00AB5DC2">
        <w:rPr>
          <w:i/>
          <w:iCs/>
          <w:sz w:val="16"/>
          <w:szCs w:val="16"/>
        </w:rPr>
        <w:t>ecretary</w:t>
      </w:r>
    </w:p>
    <w:p w:rsidR="000F5941" w:rsidRDefault="000F5941" w:rsidP="00975EF1">
      <w:pPr>
        <w:tabs>
          <w:tab w:val="center" w:pos="720"/>
        </w:tabs>
        <w:rPr>
          <w:sz w:val="16"/>
          <w:szCs w:val="16"/>
        </w:rPr>
      </w:pPr>
      <w:r>
        <w:rPr>
          <w:b/>
          <w:bCs/>
          <w:sz w:val="16"/>
          <w:szCs w:val="16"/>
        </w:rPr>
        <w:t>DIANE X. BURMAN</w:t>
      </w:r>
      <w:r>
        <w:rPr>
          <w:sz w:val="16"/>
          <w:szCs w:val="16"/>
        </w:rPr>
        <w:tab/>
      </w:r>
    </w:p>
    <w:p w:rsidR="000F5941" w:rsidRPr="00975EF1" w:rsidRDefault="000F5941" w:rsidP="00975EF1">
      <w:pPr>
        <w:tabs>
          <w:tab w:val="center" w:pos="720"/>
        </w:tabs>
        <w:rPr>
          <w:i/>
          <w:iCs/>
          <w:sz w:val="16"/>
          <w:szCs w:val="16"/>
        </w:rPr>
      </w:pPr>
      <w:r>
        <w:rPr>
          <w:sz w:val="16"/>
          <w:szCs w:val="16"/>
        </w:rPr>
        <w:t xml:space="preserve">      </w:t>
      </w:r>
      <w:r>
        <w:rPr>
          <w:i/>
          <w:iCs/>
          <w:sz w:val="16"/>
          <w:szCs w:val="16"/>
        </w:rPr>
        <w:t>Commissioners</w:t>
      </w:r>
    </w:p>
    <w:p w:rsidR="000F5941" w:rsidRDefault="000F5941">
      <w:pPr>
        <w:rPr>
          <w:sz w:val="16"/>
          <w:szCs w:val="16"/>
        </w:rPr>
        <w:sectPr w:rsidR="000F5941">
          <w:headerReference w:type="default" r:id="rId10"/>
          <w:footerReference w:type="default" r:id="rId11"/>
          <w:type w:val="continuous"/>
          <w:pgSz w:w="12240" w:h="15840" w:code="1"/>
          <w:pgMar w:top="720" w:right="432" w:bottom="1440" w:left="720" w:header="720" w:footer="720" w:gutter="0"/>
          <w:cols w:space="720"/>
          <w:noEndnote/>
          <w:titlePg/>
        </w:sectPr>
      </w:pPr>
      <w:r>
        <w:rPr>
          <w:sz w:val="16"/>
          <w:szCs w:val="16"/>
        </w:rPr>
        <w:tab/>
      </w:r>
    </w:p>
    <w:p w:rsidR="000F5941" w:rsidRPr="00CF662E" w:rsidRDefault="000F5941" w:rsidP="00CF662E">
      <w:r w:rsidRPr="00CF662E">
        <w:rPr>
          <w:u w:val="single"/>
        </w:rPr>
        <w:lastRenderedPageBreak/>
        <w:t>Via Electronic Mail</w:t>
      </w:r>
      <w:r w:rsidRPr="00CF662E">
        <w:tab/>
      </w:r>
      <w:r w:rsidRPr="00CF662E">
        <w:tab/>
      </w:r>
      <w:r w:rsidRPr="00CF662E">
        <w:tab/>
      </w:r>
      <w:r w:rsidRPr="00CF662E">
        <w:tab/>
      </w:r>
      <w:r w:rsidRPr="00CF662E">
        <w:tab/>
      </w:r>
      <w:r w:rsidRPr="00CF662E">
        <w:tab/>
      </w:r>
      <w:r>
        <w:tab/>
        <w:t xml:space="preserve">March </w:t>
      </w:r>
      <w:r w:rsidR="002703B2">
        <w:t>27</w:t>
      </w:r>
      <w:r>
        <w:t>, 2014</w:t>
      </w:r>
    </w:p>
    <w:p w:rsidR="000F5941" w:rsidRPr="00CF662E" w:rsidRDefault="000F5941" w:rsidP="00CF662E">
      <w:pPr>
        <w:sectPr w:rsidR="000F5941" w:rsidRPr="00CF662E" w:rsidSect="00FD57A9">
          <w:footerReference w:type="default" r:id="rId12"/>
          <w:type w:val="continuous"/>
          <w:pgSz w:w="12240" w:h="15840"/>
          <w:pgMar w:top="1080" w:right="1080" w:bottom="1080" w:left="1080" w:header="720" w:footer="720" w:gutter="0"/>
          <w:cols w:space="720"/>
          <w:formProt w:val="0"/>
          <w:noEndnote/>
          <w:titlePg/>
          <w:docGrid w:linePitch="326"/>
        </w:sectPr>
      </w:pPr>
    </w:p>
    <w:tbl>
      <w:tblPr>
        <w:tblW w:w="0" w:type="auto"/>
        <w:tblInd w:w="-106" w:type="dxa"/>
        <w:tblLook w:val="01E0" w:firstRow="1" w:lastRow="1" w:firstColumn="1" w:lastColumn="1" w:noHBand="0" w:noVBand="0"/>
      </w:tblPr>
      <w:tblGrid>
        <w:gridCol w:w="3274"/>
        <w:gridCol w:w="1622"/>
      </w:tblGrid>
      <w:tr w:rsidR="000F5941" w:rsidRPr="00C810C0">
        <w:tc>
          <w:tcPr>
            <w:tcW w:w="3274" w:type="dxa"/>
          </w:tcPr>
          <w:p w:rsidR="000F5941" w:rsidRDefault="000F5941" w:rsidP="00FD57A9"/>
          <w:p w:rsidR="000F5941" w:rsidRDefault="000F5941" w:rsidP="00FD57A9">
            <w:r>
              <w:t xml:space="preserve">Gerald A. </w:t>
            </w:r>
            <w:proofErr w:type="spellStart"/>
            <w:r>
              <w:t>Norlander</w:t>
            </w:r>
            <w:proofErr w:type="spellEnd"/>
            <w:r>
              <w:t>, Esq.</w:t>
            </w:r>
          </w:p>
          <w:p w:rsidR="000F5941" w:rsidRDefault="000F5941" w:rsidP="00FD57A9">
            <w:r>
              <w:t>Executive Director</w:t>
            </w:r>
          </w:p>
          <w:p w:rsidR="000F5941" w:rsidRPr="00C810C0" w:rsidRDefault="000F5941" w:rsidP="00FD57A9">
            <w:r w:rsidRPr="00C810C0">
              <w:t>Public Utility Law Project of New York, Inc.</w:t>
            </w:r>
          </w:p>
          <w:p w:rsidR="000F5941" w:rsidRPr="00C810C0" w:rsidRDefault="000F5941" w:rsidP="00FD57A9">
            <w:r w:rsidRPr="00C810C0">
              <w:t>PO Box 10787</w:t>
            </w:r>
          </w:p>
          <w:p w:rsidR="000F5941" w:rsidRPr="00C810C0" w:rsidRDefault="000F5941" w:rsidP="00FD57A9">
            <w:r w:rsidRPr="00C810C0">
              <w:t>Albany, N</w:t>
            </w:r>
            <w:r>
              <w:t xml:space="preserve">ew </w:t>
            </w:r>
            <w:r w:rsidRPr="00C810C0">
              <w:t>Y</w:t>
            </w:r>
            <w:r>
              <w:t>ork</w:t>
            </w:r>
            <w:r w:rsidRPr="00C810C0">
              <w:t xml:space="preserve"> 12201</w:t>
            </w:r>
          </w:p>
          <w:p w:rsidR="000F5941" w:rsidRPr="00C810C0" w:rsidRDefault="0096353B" w:rsidP="00FD57A9">
            <w:hyperlink r:id="rId13" w:history="1">
              <w:r w:rsidR="000F5941" w:rsidRPr="0050175D">
                <w:rPr>
                  <w:rStyle w:val="Hyperlink"/>
                </w:rPr>
                <w:t>Gnorland44@gmail.com</w:t>
              </w:r>
            </w:hyperlink>
          </w:p>
          <w:p w:rsidR="000F5941" w:rsidRPr="00C810C0" w:rsidRDefault="000F5941" w:rsidP="00FD57A9"/>
        </w:tc>
        <w:tc>
          <w:tcPr>
            <w:tcW w:w="1622" w:type="dxa"/>
          </w:tcPr>
          <w:p w:rsidR="000F5941" w:rsidRPr="00C810C0" w:rsidRDefault="000F5941" w:rsidP="00FD57A9"/>
        </w:tc>
      </w:tr>
    </w:tbl>
    <w:p w:rsidR="000F5941" w:rsidRDefault="000F5941" w:rsidP="00DD73BB">
      <w:pPr>
        <w:tabs>
          <w:tab w:val="left" w:pos="720"/>
        </w:tabs>
        <w:rPr>
          <w:color w:val="000000"/>
        </w:rPr>
      </w:pPr>
      <w:r>
        <w:rPr>
          <w:color w:val="000000"/>
        </w:rPr>
        <w:t xml:space="preserve">Usher </w:t>
      </w:r>
      <w:proofErr w:type="spellStart"/>
      <w:r>
        <w:rPr>
          <w:color w:val="000000"/>
        </w:rPr>
        <w:t>Fogel</w:t>
      </w:r>
      <w:proofErr w:type="spellEnd"/>
      <w:r>
        <w:rPr>
          <w:color w:val="000000"/>
        </w:rPr>
        <w:t>, Esq.</w:t>
      </w:r>
    </w:p>
    <w:p w:rsidR="000F5941" w:rsidRDefault="000F5941" w:rsidP="00DD73BB">
      <w:pPr>
        <w:tabs>
          <w:tab w:val="left" w:pos="720"/>
        </w:tabs>
        <w:rPr>
          <w:color w:val="000000"/>
        </w:rPr>
      </w:pPr>
      <w:r>
        <w:rPr>
          <w:color w:val="000000"/>
        </w:rPr>
        <w:t>557 Central Avenue, Suite 4A</w:t>
      </w:r>
    </w:p>
    <w:p w:rsidR="000F5941" w:rsidRDefault="000F5941" w:rsidP="00DD73BB">
      <w:pPr>
        <w:tabs>
          <w:tab w:val="left" w:pos="720"/>
        </w:tabs>
        <w:rPr>
          <w:color w:val="000000"/>
        </w:rPr>
      </w:pPr>
      <w:r>
        <w:rPr>
          <w:color w:val="000000"/>
        </w:rPr>
        <w:t>Cedarhurst, NY 11516</w:t>
      </w:r>
    </w:p>
    <w:p w:rsidR="000F5941" w:rsidRDefault="0096353B" w:rsidP="00DD73BB">
      <w:pPr>
        <w:tabs>
          <w:tab w:val="left" w:pos="720"/>
        </w:tabs>
        <w:rPr>
          <w:color w:val="000000"/>
        </w:rPr>
      </w:pPr>
      <w:hyperlink r:id="rId14" w:history="1">
        <w:r w:rsidR="000F5941" w:rsidRPr="00621C32">
          <w:rPr>
            <w:rStyle w:val="Hyperlink"/>
          </w:rPr>
          <w:t>ufogel@aol.com</w:t>
        </w:r>
      </w:hyperlink>
    </w:p>
    <w:p w:rsidR="000F5941" w:rsidRDefault="000F5941" w:rsidP="00FD57A9"/>
    <w:p w:rsidR="000F5941" w:rsidRDefault="000F5941" w:rsidP="00FD57A9">
      <w:r>
        <w:t>Paul A. Colbert</w:t>
      </w:r>
    </w:p>
    <w:p w:rsidR="000F5941" w:rsidRDefault="000F5941" w:rsidP="00FD57A9">
      <w:r>
        <w:t>Associate General Counsel</w:t>
      </w:r>
    </w:p>
    <w:p w:rsidR="000F5941" w:rsidRDefault="000F5941" w:rsidP="00FD57A9">
      <w:r>
        <w:t>Regulatory Affairs</w:t>
      </w:r>
    </w:p>
    <w:p w:rsidR="000F5941" w:rsidRDefault="000F5941" w:rsidP="00FD57A9">
      <w:r>
        <w:t>Central Hudson Gas &amp; Electric Corporation</w:t>
      </w:r>
    </w:p>
    <w:p w:rsidR="000F5941" w:rsidRDefault="000F5941" w:rsidP="00FD57A9">
      <w:r>
        <w:t>284 South Avenue</w:t>
      </w:r>
    </w:p>
    <w:p w:rsidR="000F5941" w:rsidRDefault="000F5941" w:rsidP="00FD57A9">
      <w:r>
        <w:t>Poughkeepsie, New York 12601</w:t>
      </w:r>
    </w:p>
    <w:p w:rsidR="000F5941" w:rsidRDefault="0096353B" w:rsidP="00FD57A9">
      <w:hyperlink r:id="rId15" w:history="1">
        <w:r w:rsidR="000F5941" w:rsidRPr="00621C32">
          <w:rPr>
            <w:rStyle w:val="Hyperlink"/>
          </w:rPr>
          <w:t>pcolbert@cenhud.com</w:t>
        </w:r>
      </w:hyperlink>
    </w:p>
    <w:p w:rsidR="000F5941" w:rsidRDefault="000F5941" w:rsidP="00FD57A9"/>
    <w:p w:rsidR="000F5941" w:rsidRDefault="000F5941" w:rsidP="002C6B42">
      <w:r>
        <w:t xml:space="preserve">Kerri </w:t>
      </w:r>
      <w:proofErr w:type="spellStart"/>
      <w:r>
        <w:t>Kirschbaum</w:t>
      </w:r>
      <w:proofErr w:type="spellEnd"/>
      <w:r>
        <w:t>, Senior Staff Attorney</w:t>
      </w:r>
    </w:p>
    <w:p w:rsidR="000F5941" w:rsidRDefault="000F5941" w:rsidP="002C6B42">
      <w:proofErr w:type="gramStart"/>
      <w:r>
        <w:t>Consolidated Edison Company of NY, Inc.</w:t>
      </w:r>
      <w:proofErr w:type="gramEnd"/>
    </w:p>
    <w:p w:rsidR="000F5941" w:rsidRDefault="000F5941" w:rsidP="002C6B42">
      <w:r>
        <w:t>4 Irving Place</w:t>
      </w:r>
    </w:p>
    <w:p w:rsidR="000F5941" w:rsidRDefault="000F5941" w:rsidP="002C6B42">
      <w:r>
        <w:t>New York, New York 10003-0987</w:t>
      </w:r>
    </w:p>
    <w:p w:rsidR="000F5941" w:rsidRDefault="0096353B" w:rsidP="002C6B42">
      <w:hyperlink r:id="rId16" w:history="1">
        <w:r w:rsidR="000F5941" w:rsidRPr="00621C32">
          <w:rPr>
            <w:rStyle w:val="Hyperlink"/>
          </w:rPr>
          <w:t>kirschbaumk@coned.com</w:t>
        </w:r>
      </w:hyperlink>
    </w:p>
    <w:p w:rsidR="000F5941" w:rsidRDefault="000F5941" w:rsidP="00FD57A9"/>
    <w:p w:rsidR="000F5941" w:rsidRDefault="000F5941" w:rsidP="00FD57A9"/>
    <w:p w:rsidR="000F5941" w:rsidRDefault="000F5941" w:rsidP="00FD57A9"/>
    <w:p w:rsidR="000F5941" w:rsidRDefault="000F5941" w:rsidP="002C6B42"/>
    <w:p w:rsidR="000F5941" w:rsidRDefault="000F5941" w:rsidP="002C6B42">
      <w:r>
        <w:t xml:space="preserve">Michael W. </w:t>
      </w:r>
      <w:proofErr w:type="spellStart"/>
      <w:r>
        <w:t>Reville</w:t>
      </w:r>
      <w:proofErr w:type="spellEnd"/>
    </w:p>
    <w:p w:rsidR="000F5941" w:rsidRDefault="000F5941" w:rsidP="002C6B42">
      <w:r>
        <w:t xml:space="preserve">Assistant Vice President &amp; </w:t>
      </w:r>
    </w:p>
    <w:p w:rsidR="000F5941" w:rsidRDefault="000F5941" w:rsidP="002C6B42">
      <w:r>
        <w:t>Chief Regulatory Counsel</w:t>
      </w:r>
    </w:p>
    <w:p w:rsidR="000F5941" w:rsidRDefault="000F5941" w:rsidP="002C6B42">
      <w:r>
        <w:t>Rates and Regulatory Affairs</w:t>
      </w:r>
    </w:p>
    <w:p w:rsidR="000F5941" w:rsidRDefault="000F5941" w:rsidP="00FD57A9">
      <w:r>
        <w:t>National Fuel Gas Distribution Corporation</w:t>
      </w:r>
    </w:p>
    <w:p w:rsidR="000F5941" w:rsidRDefault="000F5941" w:rsidP="00FD57A9">
      <w:r>
        <w:t>6363 Main Street</w:t>
      </w:r>
    </w:p>
    <w:p w:rsidR="000F5941" w:rsidRDefault="000F5941" w:rsidP="00FD57A9">
      <w:r>
        <w:t>Williamsville, New York 14221-5887</w:t>
      </w:r>
    </w:p>
    <w:p w:rsidR="000F5941" w:rsidRDefault="0096353B" w:rsidP="002C6B42">
      <w:hyperlink r:id="rId17" w:history="1">
        <w:r w:rsidR="000F5941" w:rsidRPr="00621C32">
          <w:rPr>
            <w:rStyle w:val="Hyperlink"/>
          </w:rPr>
          <w:t>revillem@natfuel.com</w:t>
        </w:r>
      </w:hyperlink>
    </w:p>
    <w:p w:rsidR="000F5941" w:rsidRDefault="000F5941" w:rsidP="002C6B42"/>
    <w:p w:rsidR="000F5941" w:rsidRDefault="000F5941" w:rsidP="00FD57A9">
      <w:proofErr w:type="spellStart"/>
      <w:r>
        <w:t>Patric</w:t>
      </w:r>
      <w:proofErr w:type="spellEnd"/>
      <w:r>
        <w:t xml:space="preserve"> R. O’Brien, Senior Counsel</w:t>
      </w:r>
    </w:p>
    <w:p w:rsidR="000F5941" w:rsidRDefault="000F5941" w:rsidP="00FD57A9">
      <w:r>
        <w:t>National Grid</w:t>
      </w:r>
    </w:p>
    <w:p w:rsidR="000F5941" w:rsidRDefault="000F5941" w:rsidP="00FD57A9">
      <w:r>
        <w:t>40 Sylvan Road</w:t>
      </w:r>
    </w:p>
    <w:p w:rsidR="000F5941" w:rsidRDefault="000F5941" w:rsidP="00FD57A9">
      <w:r>
        <w:t>Waltham, MA 02451</w:t>
      </w:r>
    </w:p>
    <w:p w:rsidR="000F5941" w:rsidRDefault="0096353B" w:rsidP="00FD57A9">
      <w:hyperlink r:id="rId18" w:history="1">
        <w:r w:rsidR="000F5941" w:rsidRPr="00621C32">
          <w:rPr>
            <w:rStyle w:val="Hyperlink"/>
          </w:rPr>
          <w:t>Patric.r.obrien@us.ngrid.com</w:t>
        </w:r>
      </w:hyperlink>
    </w:p>
    <w:p w:rsidR="000F5941" w:rsidRDefault="000F5941" w:rsidP="00FD57A9"/>
    <w:p w:rsidR="000F5941" w:rsidRDefault="000F5941" w:rsidP="00FD57A9">
      <w:r>
        <w:t xml:space="preserve">Jeremy J. </w:t>
      </w:r>
      <w:proofErr w:type="spellStart"/>
      <w:r>
        <w:t>Euto</w:t>
      </w:r>
      <w:proofErr w:type="spellEnd"/>
      <w:r>
        <w:t>, Senior Counsel</w:t>
      </w:r>
    </w:p>
    <w:p w:rsidR="000F5941" w:rsidRDefault="000F5941" w:rsidP="00FD57A9">
      <w:r>
        <w:t>National Grid/Niagara Mohawk</w:t>
      </w:r>
    </w:p>
    <w:p w:rsidR="000F5941" w:rsidRDefault="000F5941" w:rsidP="00FD57A9">
      <w:r>
        <w:t>300 Erie Blvd. West</w:t>
      </w:r>
    </w:p>
    <w:p w:rsidR="000F5941" w:rsidRDefault="000F5941" w:rsidP="00FD57A9">
      <w:r>
        <w:t>Syracuse, New York 13202</w:t>
      </w:r>
    </w:p>
    <w:p w:rsidR="000F5941" w:rsidRDefault="0096353B" w:rsidP="00FD57A9">
      <w:hyperlink r:id="rId19" w:history="1">
        <w:r w:rsidR="000F5941" w:rsidRPr="00621C32">
          <w:rPr>
            <w:rStyle w:val="Hyperlink"/>
          </w:rPr>
          <w:t>Jeremy.euto@nationalgrid.com</w:t>
        </w:r>
      </w:hyperlink>
    </w:p>
    <w:p w:rsidR="000F5941" w:rsidRDefault="000F5941" w:rsidP="00FD57A9"/>
    <w:p w:rsidR="000F5941" w:rsidRDefault="000F5941" w:rsidP="00FD57A9">
      <w:proofErr w:type="spellStart"/>
      <w:r>
        <w:t>Enver</w:t>
      </w:r>
      <w:proofErr w:type="spellEnd"/>
      <w:r>
        <w:t xml:space="preserve"> Acevedo, Senior Attorney</w:t>
      </w:r>
    </w:p>
    <w:p w:rsidR="000F5941" w:rsidRDefault="000F5941" w:rsidP="00FD57A9">
      <w:r>
        <w:t xml:space="preserve">Law Department </w:t>
      </w:r>
    </w:p>
    <w:p w:rsidR="000F5941" w:rsidRDefault="000F5941" w:rsidP="00FD57A9">
      <w:proofErr w:type="gramStart"/>
      <w:r>
        <w:t>Consolidated Edison Company of NY, Inc. (Orange &amp; Rockland Utilities, Inc.)</w:t>
      </w:r>
      <w:proofErr w:type="gramEnd"/>
    </w:p>
    <w:p w:rsidR="000F5941" w:rsidRDefault="000F5941" w:rsidP="00FD57A9">
      <w:r>
        <w:t>41 Irving Place, Room 1815-S</w:t>
      </w:r>
    </w:p>
    <w:p w:rsidR="000F5941" w:rsidRDefault="000F5941" w:rsidP="00FD57A9">
      <w:r>
        <w:t>New York, New York 10003</w:t>
      </w:r>
    </w:p>
    <w:p w:rsidR="000F5941" w:rsidRDefault="0096353B" w:rsidP="00FD57A9">
      <w:hyperlink r:id="rId20" w:history="1">
        <w:r w:rsidR="000F5941" w:rsidRPr="00621C32">
          <w:rPr>
            <w:rStyle w:val="Hyperlink"/>
          </w:rPr>
          <w:t>acevedoe@coned.com</w:t>
        </w:r>
      </w:hyperlink>
    </w:p>
    <w:p w:rsidR="000F5941" w:rsidRDefault="000F5941" w:rsidP="00FD57A9"/>
    <w:p w:rsidR="000F5941" w:rsidRDefault="000F5941" w:rsidP="00FD57A9">
      <w:pPr>
        <w:sectPr w:rsidR="000F5941" w:rsidSect="00FD57A9">
          <w:type w:val="continuous"/>
          <w:pgSz w:w="12240" w:h="15840"/>
          <w:pgMar w:top="1080" w:right="1080" w:bottom="1080" w:left="1080" w:header="720" w:footer="720" w:gutter="0"/>
          <w:cols w:num="2" w:space="720"/>
          <w:formProt w:val="0"/>
          <w:noEndnote/>
          <w:titlePg/>
          <w:docGrid w:linePitch="326"/>
        </w:sectPr>
      </w:pPr>
    </w:p>
    <w:p w:rsidR="000F5941" w:rsidRDefault="000F5941" w:rsidP="00FD57A9">
      <w:r w:rsidRPr="00C810C0">
        <w:lastRenderedPageBreak/>
        <w:t>RE:</w:t>
      </w:r>
      <w:r w:rsidRPr="00C810C0">
        <w:tab/>
      </w:r>
      <w:r>
        <w:t>Matter #11-01661 and #12-00172 - FOIL request for d</w:t>
      </w:r>
      <w:r w:rsidRPr="00976EB3">
        <w:t xml:space="preserve">ata provided by utilities to DPS comparing </w:t>
      </w:r>
      <w:r>
        <w:tab/>
      </w:r>
      <w:r w:rsidRPr="00976EB3">
        <w:t xml:space="preserve">utility charges to residential customers with ESCO gas or electric service with the charges that </w:t>
      </w:r>
      <w:r>
        <w:tab/>
      </w:r>
      <w:r w:rsidRPr="00976EB3">
        <w:t>would have</w:t>
      </w:r>
      <w:r>
        <w:t xml:space="preserve"> </w:t>
      </w:r>
      <w:r w:rsidRPr="00976EB3">
        <w:t>been due the utility had the cu</w:t>
      </w:r>
      <w:r>
        <w:t>stomers not switched to an ESCO.</w:t>
      </w:r>
    </w:p>
    <w:p w:rsidR="000F5941" w:rsidRDefault="000F5941" w:rsidP="00FD57A9">
      <w:pPr>
        <w:tabs>
          <w:tab w:val="left" w:pos="4788"/>
        </w:tabs>
        <w:jc w:val="center"/>
        <w:rPr>
          <w:b/>
          <w:bCs/>
        </w:rPr>
      </w:pPr>
    </w:p>
    <w:p w:rsidR="000F5941" w:rsidRPr="00A4762F" w:rsidRDefault="000F5941" w:rsidP="00FD57A9">
      <w:pPr>
        <w:tabs>
          <w:tab w:val="left" w:pos="4788"/>
        </w:tabs>
        <w:jc w:val="center"/>
        <w:rPr>
          <w:b/>
          <w:bCs/>
        </w:rPr>
      </w:pPr>
      <w:r>
        <w:rPr>
          <w:b/>
          <w:bCs/>
        </w:rPr>
        <w:t>(DETERMINATION – Trade Secret Information 14-01)</w:t>
      </w:r>
    </w:p>
    <w:p w:rsidR="000F5941" w:rsidRDefault="000F5941" w:rsidP="00CF662E">
      <w:pPr>
        <w:tabs>
          <w:tab w:val="left" w:pos="630"/>
        </w:tabs>
        <w:ind w:left="1440" w:hanging="1440"/>
      </w:pPr>
    </w:p>
    <w:p w:rsidR="000F5941" w:rsidRDefault="000F5941" w:rsidP="00CF662E">
      <w:pPr>
        <w:tabs>
          <w:tab w:val="left" w:pos="630"/>
        </w:tabs>
        <w:ind w:left="1440" w:hanging="1440"/>
      </w:pPr>
      <w:r>
        <w:t xml:space="preserve">Dear Mr. </w:t>
      </w:r>
      <w:proofErr w:type="spellStart"/>
      <w:r>
        <w:t>Norlander</w:t>
      </w:r>
      <w:proofErr w:type="spellEnd"/>
      <w:r>
        <w:t>, et al.:</w:t>
      </w:r>
    </w:p>
    <w:p w:rsidR="000F5941" w:rsidRPr="00BD0DAC" w:rsidRDefault="000F5941" w:rsidP="00CF662E">
      <w:pPr>
        <w:tabs>
          <w:tab w:val="left" w:pos="630"/>
        </w:tabs>
        <w:ind w:left="1440" w:hanging="1440"/>
      </w:pPr>
    </w:p>
    <w:p w:rsidR="000F5941" w:rsidRDefault="000F5941" w:rsidP="00E54992">
      <w:r w:rsidRPr="00BD0DAC">
        <w:tab/>
      </w:r>
      <w:r w:rsidRPr="00E81E0A">
        <w:t xml:space="preserve">This </w:t>
      </w:r>
      <w:r>
        <w:t xml:space="preserve">letter constitutes my determination, as Records Access Officer (RAO) for the New York State Department of Public Service (the Department), on a request for access to records pursuant to §89(5) of the Public Officers Law (POL).  It discusses whether certain records submitted by Central Hudson Gas &amp; Electric Corporation (CHG&amp;E), National Fuel Gas Distribution Corporation (NFGD), </w:t>
      </w:r>
      <w:r w:rsidRPr="00045602">
        <w:t>N</w:t>
      </w:r>
      <w:r>
        <w:t>iagar</w:t>
      </w:r>
      <w:r w:rsidRPr="00045602">
        <w:t>a</w:t>
      </w:r>
      <w:r>
        <w:t xml:space="preserve"> Mohawk Power Corporation d/b/a National Grid (Niagara Mohawk),</w:t>
      </w:r>
      <w:r w:rsidRPr="00045602">
        <w:t xml:space="preserve"> </w:t>
      </w:r>
      <w:r>
        <w:t>Consolidated Edison Company of New York, Inc. (Con Edison), and Orange &amp; Rockland Utilities, Inc. (O&amp;R)  (together, the Utilities) are entitled to an exception from disclosure as trade secrets or confidential commercial information within the meaning of POL §87(2)(d)</w:t>
      </w:r>
      <w:r w:rsidRPr="00045602">
        <w:t xml:space="preserve">.  </w:t>
      </w:r>
    </w:p>
    <w:p w:rsidR="000F5941" w:rsidRPr="007673F7" w:rsidRDefault="000F5941" w:rsidP="003C59FC">
      <w:pPr>
        <w:rPr>
          <w:b/>
          <w:bCs/>
        </w:rPr>
      </w:pPr>
      <w:r w:rsidRPr="00045602">
        <w:tab/>
      </w:r>
    </w:p>
    <w:p w:rsidR="000F5941" w:rsidRPr="006637D2" w:rsidRDefault="000F5941" w:rsidP="003C59FC">
      <w:pPr>
        <w:jc w:val="center"/>
        <w:rPr>
          <w:b/>
          <w:bCs/>
          <w:u w:val="single"/>
        </w:rPr>
      </w:pPr>
      <w:r w:rsidRPr="006637D2">
        <w:rPr>
          <w:b/>
          <w:bCs/>
          <w:u w:val="single"/>
        </w:rPr>
        <w:t xml:space="preserve">FOIL PROCEDURAL BACKGROUND </w:t>
      </w:r>
    </w:p>
    <w:p w:rsidR="000F5941" w:rsidRPr="00045602" w:rsidRDefault="000F5941" w:rsidP="003C59FC"/>
    <w:p w:rsidR="000F5941" w:rsidRDefault="000F5941" w:rsidP="002C6B42">
      <w:r w:rsidRPr="00045602">
        <w:tab/>
      </w:r>
      <w:r>
        <w:t xml:space="preserve">On January 17, 2014, Gerald A. </w:t>
      </w:r>
      <w:proofErr w:type="spellStart"/>
      <w:r>
        <w:t>Norlander</w:t>
      </w:r>
      <w:proofErr w:type="spellEnd"/>
      <w:r>
        <w:t xml:space="preserve"> sent a request on behalf of the Public Utility Law Project (PULP) seeking access to d</w:t>
      </w:r>
      <w:r w:rsidRPr="00976EB3">
        <w:t xml:space="preserve">ata provided by </w:t>
      </w:r>
      <w:r>
        <w:t>the U</w:t>
      </w:r>
      <w:r w:rsidRPr="00976EB3">
        <w:t xml:space="preserve">tilities to </w:t>
      </w:r>
      <w:r>
        <w:t>the Department</w:t>
      </w:r>
      <w:r w:rsidRPr="00976EB3">
        <w:t xml:space="preserve"> comparing utility charges to residential customers </w:t>
      </w:r>
      <w:r>
        <w:t>having</w:t>
      </w:r>
      <w:r w:rsidRPr="00976EB3">
        <w:t xml:space="preserve"> </w:t>
      </w:r>
      <w:r>
        <w:t>energy service company (</w:t>
      </w:r>
      <w:r w:rsidRPr="00976EB3">
        <w:t>ESCO</w:t>
      </w:r>
      <w:r>
        <w:t>)</w:t>
      </w:r>
      <w:r w:rsidRPr="00976EB3">
        <w:t xml:space="preserve"> gas or electric service with the charges that would have</w:t>
      </w:r>
      <w:r>
        <w:t xml:space="preserve"> </w:t>
      </w:r>
      <w:r w:rsidRPr="00976EB3">
        <w:t>been due the utility had the cu</w:t>
      </w:r>
      <w:r>
        <w:t xml:space="preserve">stomers not switched to an ESCO.  The PULP request specifically disclaimed any interest in the disclosure of the names of the individual ESCOs. </w:t>
      </w:r>
    </w:p>
    <w:p w:rsidR="000F5941" w:rsidRDefault="000F5941" w:rsidP="002C3EBD"/>
    <w:p w:rsidR="000F5941" w:rsidRDefault="000F5941" w:rsidP="008736B1">
      <w:pPr>
        <w:autoSpaceDE w:val="0"/>
        <w:autoSpaceDN w:val="0"/>
        <w:adjustRightInd w:val="0"/>
      </w:pPr>
      <w:r>
        <w:tab/>
        <w:t xml:space="preserve">On February 25, 2014, I sent a two-fold letter to PULP and to the Utilities outlining the procedural process that would be employed to determine access to the requested documents.  The individual ESCOs and Usher </w:t>
      </w:r>
      <w:proofErr w:type="spellStart"/>
      <w:r>
        <w:t>Fogel</w:t>
      </w:r>
      <w:proofErr w:type="spellEnd"/>
      <w:r>
        <w:t xml:space="preserve">, who represents </w:t>
      </w:r>
      <w:r w:rsidRPr="008736B1">
        <w:t>the Retail Energy Supply Association</w:t>
      </w:r>
      <w:r>
        <w:t xml:space="preserve"> (RESA),</w:t>
      </w:r>
      <w:r>
        <w:rPr>
          <w:rStyle w:val="FootnoteReference"/>
        </w:rPr>
        <w:footnoteReference w:id="1"/>
      </w:r>
      <w:r>
        <w:t xml:space="preserve"> </w:t>
      </w:r>
      <w:r w:rsidRPr="008736B1">
        <w:t>IDT Energy, Just Energy, and Stream Energy,</w:t>
      </w:r>
      <w:r>
        <w:t xml:space="preserve"> were also provided this notification.</w:t>
      </w:r>
      <w:r>
        <w:rPr>
          <w:rStyle w:val="FootnoteReference"/>
        </w:rPr>
        <w:footnoteReference w:id="2"/>
      </w:r>
    </w:p>
    <w:p w:rsidR="000F5941" w:rsidRDefault="000F5941" w:rsidP="002C3EBD"/>
    <w:p w:rsidR="000F5941" w:rsidRDefault="000F5941" w:rsidP="002C3EBD">
      <w:r>
        <w:tab/>
        <w:t>Subsequently, the Utilities submitted Statements of Necessity that modified their prior requests for confidential treatment of ESCO-related information.  All of the Utilities withdrew their original requests for trade secret protection for ESCO price information and enrollment data.  With the exception of Niagara Mohawk,</w:t>
      </w:r>
      <w:r>
        <w:rPr>
          <w:rStyle w:val="FootnoteReference"/>
        </w:rPr>
        <w:footnoteReference w:id="3"/>
      </w:r>
      <w:r>
        <w:t xml:space="preserve"> the Utilities now assert trade secret protection only for the </w:t>
      </w:r>
      <w:r w:rsidRPr="00B573EB">
        <w:t xml:space="preserve">ESCO names and </w:t>
      </w:r>
      <w:r w:rsidRPr="00B573EB">
        <w:lastRenderedPageBreak/>
        <w:t>identification codes</w:t>
      </w:r>
      <w:r>
        <w:t xml:space="preserve"> that link specific ESCOs to the their enrollment and pricing information.</w:t>
      </w:r>
      <w:r>
        <w:rPr>
          <w:rStyle w:val="FootnoteReference"/>
        </w:rPr>
        <w:footnoteReference w:id="4"/>
      </w:r>
      <w:r>
        <w:t xml:space="preserve">  All continue to assert confidentiality for customer data.</w:t>
      </w:r>
    </w:p>
    <w:p w:rsidR="000F5941" w:rsidRDefault="000F5941" w:rsidP="002C3EBD"/>
    <w:p w:rsidR="000F5941" w:rsidRDefault="000F5941">
      <w:pPr>
        <w:ind w:firstLine="720"/>
      </w:pPr>
      <w:r>
        <w:t xml:space="preserve">RESA also submitted a Statement of Necessity on behalf of its members. </w:t>
      </w:r>
      <w:r w:rsidRPr="007C62F2">
        <w:t>RESA</w:t>
      </w:r>
      <w:r>
        <w:t xml:space="preserve"> argues that </w:t>
      </w:r>
      <w:r w:rsidRPr="007C62F2">
        <w:t>the records</w:t>
      </w:r>
      <w:r>
        <w:t xml:space="preserve"> </w:t>
      </w:r>
      <w:r w:rsidRPr="007C62F2">
        <w:t xml:space="preserve">identified in the </w:t>
      </w:r>
      <w:r>
        <w:t>PULP</w:t>
      </w:r>
      <w:r w:rsidRPr="007C62F2">
        <w:t xml:space="preserve"> </w:t>
      </w:r>
      <w:r>
        <w:t>r</w:t>
      </w:r>
      <w:r w:rsidRPr="007C62F2">
        <w:t>equest</w:t>
      </w:r>
      <w:r>
        <w:t xml:space="preserve"> are entitled to protection from disclosure</w:t>
      </w:r>
      <w:r w:rsidRPr="007C62F2">
        <w:t xml:space="preserve"> in accordance with </w:t>
      </w:r>
      <w:r>
        <w:t>POL §§</w:t>
      </w:r>
      <w:r w:rsidRPr="007C62F2">
        <w:t>87(2</w:t>
      </w:r>
      <w:proofErr w:type="gramStart"/>
      <w:r w:rsidRPr="007C62F2">
        <w:t>)(</w:t>
      </w:r>
      <w:proofErr w:type="gramEnd"/>
      <w:r w:rsidRPr="007C62F2">
        <w:t>d) and</w:t>
      </w:r>
      <w:r>
        <w:t xml:space="preserve"> </w:t>
      </w:r>
      <w:r w:rsidRPr="007C62F2">
        <w:t>89(5)(b)(2)</w:t>
      </w:r>
      <w:r>
        <w:t xml:space="preserve">, </w:t>
      </w:r>
      <w:r w:rsidRPr="007C62F2">
        <w:t>16 NYCRR Section 6-1.3</w:t>
      </w:r>
      <w:r>
        <w:t xml:space="preserve">, </w:t>
      </w:r>
      <w:r w:rsidRPr="007C62F2">
        <w:t>and Commission precedent.</w:t>
      </w:r>
    </w:p>
    <w:p w:rsidR="000F5941" w:rsidRDefault="000F5941">
      <w:pPr>
        <w:ind w:firstLine="720"/>
      </w:pPr>
      <w:r>
        <w:t xml:space="preserve"> </w:t>
      </w:r>
    </w:p>
    <w:p w:rsidR="000F5941" w:rsidRDefault="000F5941">
      <w:pPr>
        <w:pStyle w:val="Default"/>
      </w:pPr>
      <w:r>
        <w:tab/>
        <w:t>Neither the release of customer data, including enrollment data and personal identifying details, nor the names and associated key or index codes of ESCOs are at issue; they are not the subject of this Determination.  The sole issue for this Determination is RESA’s contention that the ESCOs’ pricing information is entitled to trade secret protection.</w:t>
      </w:r>
      <w:r>
        <w:rPr>
          <w:rStyle w:val="FootnoteReference"/>
        </w:rPr>
        <w:footnoteReference w:id="5"/>
      </w:r>
    </w:p>
    <w:p w:rsidR="000F5941" w:rsidRDefault="000F5941">
      <w:pPr>
        <w:pStyle w:val="Default"/>
      </w:pPr>
      <w:r>
        <w:t xml:space="preserve"> </w:t>
      </w:r>
    </w:p>
    <w:p w:rsidR="000F5941" w:rsidRPr="00867FF8" w:rsidRDefault="000F5941" w:rsidP="00867FF8">
      <w:pPr>
        <w:pStyle w:val="Default"/>
        <w:jc w:val="center"/>
      </w:pPr>
      <w:r w:rsidRPr="00A35B20">
        <w:rPr>
          <w:b/>
          <w:bCs/>
          <w:u w:val="single"/>
        </w:rPr>
        <w:t>DISCUSSION</w:t>
      </w:r>
    </w:p>
    <w:p w:rsidR="000F5941" w:rsidRPr="007C62F2" w:rsidRDefault="000F5941" w:rsidP="00BC7DA0">
      <w:pPr>
        <w:autoSpaceDE w:val="0"/>
        <w:autoSpaceDN w:val="0"/>
        <w:adjustRightInd w:val="0"/>
        <w:rPr>
          <w:b/>
          <w:bCs/>
          <w:u w:val="single"/>
        </w:rPr>
      </w:pPr>
      <w:r>
        <w:rPr>
          <w:b/>
          <w:bCs/>
          <w:u w:val="single"/>
        </w:rPr>
        <w:t xml:space="preserve">Arguments of </w:t>
      </w:r>
      <w:r w:rsidRPr="007C62F2">
        <w:rPr>
          <w:b/>
          <w:bCs/>
          <w:u w:val="single"/>
        </w:rPr>
        <w:t>RESA</w:t>
      </w:r>
    </w:p>
    <w:p w:rsidR="000F5941" w:rsidRDefault="000F5941" w:rsidP="00BC7DA0">
      <w:pPr>
        <w:autoSpaceDE w:val="0"/>
        <w:autoSpaceDN w:val="0"/>
        <w:adjustRightInd w:val="0"/>
        <w:rPr>
          <w:b/>
          <w:bCs/>
          <w:sz w:val="22"/>
          <w:szCs w:val="22"/>
        </w:rPr>
      </w:pPr>
    </w:p>
    <w:p w:rsidR="000F5941" w:rsidRDefault="000F5941" w:rsidP="00BC7DA0">
      <w:r>
        <w:tab/>
        <w:t xml:space="preserve">RESA argues that </w:t>
      </w:r>
      <w:r w:rsidRPr="007C62F2">
        <w:t>disclosure of th</w:t>
      </w:r>
      <w:r>
        <w:t>e</w:t>
      </w:r>
      <w:r w:rsidRPr="007C62F2">
        <w:t xml:space="preserve"> </w:t>
      </w:r>
      <w:r>
        <w:t>“d</w:t>
      </w:r>
      <w:r w:rsidRPr="00976EB3">
        <w:t>ata provided by utilities to DPS comparing utility charges to residential customers h</w:t>
      </w:r>
      <w:r>
        <w:t>aving</w:t>
      </w:r>
      <w:r w:rsidRPr="00976EB3">
        <w:t xml:space="preserve"> ESCO gas or electric service with the charges that would have</w:t>
      </w:r>
      <w:r>
        <w:t xml:space="preserve"> </w:t>
      </w:r>
      <w:r w:rsidRPr="00976EB3">
        <w:t>been due the utility had the cu</w:t>
      </w:r>
      <w:r>
        <w:t xml:space="preserve">stomers not switched to an ESCO” is </w:t>
      </w:r>
      <w:r w:rsidRPr="007C62F2">
        <w:t>inconsistent with</w:t>
      </w:r>
      <w:r>
        <w:t xml:space="preserve"> </w:t>
      </w:r>
      <w:r w:rsidRPr="007C62F2">
        <w:t>the UBP Order,</w:t>
      </w:r>
      <w:r>
        <w:rPr>
          <w:rStyle w:val="FootnoteReference"/>
        </w:rPr>
        <w:footnoteReference w:id="6"/>
      </w:r>
      <w:r w:rsidRPr="007C62F2">
        <w:t xml:space="preserve"> the Retail</w:t>
      </w:r>
      <w:r>
        <w:t xml:space="preserve"> </w:t>
      </w:r>
      <w:r w:rsidRPr="007C62F2">
        <w:t>Markets Order</w:t>
      </w:r>
      <w:r>
        <w:t>,</w:t>
      </w:r>
      <w:r>
        <w:rPr>
          <w:rStyle w:val="FootnoteReference"/>
        </w:rPr>
        <w:footnoteReference w:id="7"/>
      </w:r>
      <w:r w:rsidRPr="007C62F2">
        <w:t xml:space="preserve"> </w:t>
      </w:r>
      <w:r>
        <w:t xml:space="preserve">certain Appeals of Trade Secret Determinations </w:t>
      </w:r>
      <w:r w:rsidRPr="007C62F2">
        <w:t xml:space="preserve">issued by </w:t>
      </w:r>
      <w:r>
        <w:t xml:space="preserve">the </w:t>
      </w:r>
      <w:r w:rsidRPr="007C62F2">
        <w:t>Secretary,</w:t>
      </w:r>
      <w:r>
        <w:rPr>
          <w:rStyle w:val="FootnoteReference"/>
        </w:rPr>
        <w:footnoteReference w:id="8"/>
      </w:r>
      <w:r w:rsidRPr="007C62F2">
        <w:t xml:space="preserve"> and </w:t>
      </w:r>
      <w:r>
        <w:t>T</w:t>
      </w:r>
      <w:r w:rsidRPr="007C62F2">
        <w:t xml:space="preserve">rade </w:t>
      </w:r>
      <w:r>
        <w:t>S</w:t>
      </w:r>
      <w:r w:rsidRPr="007C62F2">
        <w:t xml:space="preserve">ecret </w:t>
      </w:r>
      <w:r>
        <w:t>Determinations</w:t>
      </w:r>
      <w:r w:rsidRPr="007C62F2">
        <w:t xml:space="preserve"> </w:t>
      </w:r>
      <w:r>
        <w:t xml:space="preserve">made </w:t>
      </w:r>
      <w:r w:rsidRPr="007C62F2">
        <w:t xml:space="preserve">by </w:t>
      </w:r>
      <w:r>
        <w:t xml:space="preserve">the </w:t>
      </w:r>
      <w:r w:rsidRPr="007C62F2">
        <w:t>R</w:t>
      </w:r>
      <w:r>
        <w:t>AO in other cases</w:t>
      </w:r>
      <w:r w:rsidRPr="007C62F2">
        <w:t>.</w:t>
      </w:r>
      <w:r>
        <w:rPr>
          <w:rStyle w:val="FootnoteReference"/>
        </w:rPr>
        <w:footnoteReference w:id="9"/>
      </w:r>
      <w:r w:rsidRPr="007C62F2">
        <w:t xml:space="preserve"> Moreover, </w:t>
      </w:r>
      <w:r>
        <w:t xml:space="preserve">RESA asserts that </w:t>
      </w:r>
      <w:r w:rsidRPr="007C62F2">
        <w:t>disclosure will adversely</w:t>
      </w:r>
      <w:r>
        <w:t xml:space="preserve"> </w:t>
      </w:r>
      <w:r w:rsidRPr="007C62F2">
        <w:t>impact the competitive position of the affected ESCOs.</w:t>
      </w:r>
      <w:r>
        <w:t xml:space="preserve"> </w:t>
      </w:r>
    </w:p>
    <w:p w:rsidR="000F5941" w:rsidRDefault="000F5941" w:rsidP="00F32E25">
      <w:r>
        <w:tab/>
        <w:t xml:space="preserve">RESA refers to several orders and determinations as establishing that information related to ESCOs is confidential.  For example, RESA cites the UBP Order as precedent for </w:t>
      </w:r>
      <w:r w:rsidRPr="007C62F2">
        <w:t xml:space="preserve">the confidentiality of information </w:t>
      </w:r>
      <w:r>
        <w:t xml:space="preserve">identifying </w:t>
      </w:r>
      <w:r w:rsidRPr="007C62F2">
        <w:t>the</w:t>
      </w:r>
      <w:r>
        <w:t xml:space="preserve"> </w:t>
      </w:r>
      <w:r w:rsidRPr="005D0FC8">
        <w:t xml:space="preserve">number of customers served by </w:t>
      </w:r>
      <w:r>
        <w:t xml:space="preserve">an </w:t>
      </w:r>
      <w:r w:rsidRPr="005D0FC8">
        <w:t>ESCO.</w:t>
      </w:r>
      <w:r>
        <w:rPr>
          <w:rStyle w:val="FootnoteReference"/>
        </w:rPr>
        <w:footnoteReference w:id="10"/>
      </w:r>
      <w:r>
        <w:t xml:space="preserve">  RESA claims that t</w:t>
      </w:r>
      <w:r w:rsidRPr="007C62F2">
        <w:t xml:space="preserve">he UBP Order was reinforced by the </w:t>
      </w:r>
      <w:r>
        <w:t xml:space="preserve">RAO’s Trade Secret Determination </w:t>
      </w:r>
      <w:r w:rsidRPr="007C62F2">
        <w:t>09</w:t>
      </w:r>
      <w:r>
        <w:t>-1</w:t>
      </w:r>
      <w:r w:rsidRPr="007C62F2">
        <w:t xml:space="preserve"> in which a request for</w:t>
      </w:r>
      <w:r>
        <w:t xml:space="preserve"> </w:t>
      </w:r>
      <w:r w:rsidRPr="007C62F2">
        <w:t xml:space="preserve">disclosure of </w:t>
      </w:r>
      <w:r w:rsidRPr="00850401">
        <w:t>ESCO</w:t>
      </w:r>
      <w:r>
        <w:t>-</w:t>
      </w:r>
      <w:r w:rsidRPr="00850401">
        <w:t xml:space="preserve">specific </w:t>
      </w:r>
      <w:r>
        <w:t xml:space="preserve">data </w:t>
      </w:r>
      <w:r w:rsidRPr="007C62F2">
        <w:t>was denied on the</w:t>
      </w:r>
      <w:r>
        <w:t xml:space="preserve"> </w:t>
      </w:r>
      <w:r w:rsidRPr="007C62F2">
        <w:t>ground that it would engender competitive harm.</w:t>
      </w:r>
      <w:r>
        <w:rPr>
          <w:rStyle w:val="FootnoteReference"/>
        </w:rPr>
        <w:footnoteReference w:id="11"/>
      </w:r>
      <w:r w:rsidRPr="007C62F2">
        <w:t xml:space="preserve"> </w:t>
      </w:r>
      <w:r>
        <w:t xml:space="preserve">RESA also cites a 2010 </w:t>
      </w:r>
      <w:r w:rsidRPr="007C62F2">
        <w:t>RAO</w:t>
      </w:r>
      <w:r>
        <w:t xml:space="preserve"> decision protecting</w:t>
      </w:r>
      <w:r w:rsidRPr="007C62F2">
        <w:t xml:space="preserve"> ESCO customer data from disclosure</w:t>
      </w:r>
      <w:r>
        <w:t>,</w:t>
      </w:r>
      <w:r>
        <w:rPr>
          <w:rStyle w:val="FootnoteReference"/>
        </w:rPr>
        <w:footnoteReference w:id="12"/>
      </w:r>
      <w:r>
        <w:t xml:space="preserve"> and</w:t>
      </w:r>
      <w:r w:rsidRPr="007C62F2">
        <w:t xml:space="preserve"> an October 2006 </w:t>
      </w:r>
      <w:r>
        <w:t xml:space="preserve">Appeal Determination </w:t>
      </w:r>
      <w:r w:rsidRPr="007C62F2">
        <w:t xml:space="preserve">in which </w:t>
      </w:r>
      <w:r>
        <w:t xml:space="preserve">the </w:t>
      </w:r>
      <w:r w:rsidRPr="007C62F2">
        <w:t xml:space="preserve">Secretary </w:t>
      </w:r>
      <w:r>
        <w:t>found</w:t>
      </w:r>
      <w:r w:rsidRPr="007C62F2">
        <w:t xml:space="preserve"> that disclosure of </w:t>
      </w:r>
      <w:r>
        <w:t>ESCO</w:t>
      </w:r>
      <w:r w:rsidR="00607230">
        <w:t xml:space="preserve"> names</w:t>
      </w:r>
      <w:r>
        <w:t>, the total number of customers for each, and the quantities of gas each ESCO moved to its customers was not required</w:t>
      </w:r>
      <w:r w:rsidRPr="00850401">
        <w:t>.</w:t>
      </w:r>
      <w:r>
        <w:rPr>
          <w:rStyle w:val="FootnoteReference"/>
        </w:rPr>
        <w:footnoteReference w:id="13"/>
      </w:r>
      <w:r>
        <w:t xml:space="preserve">  </w:t>
      </w:r>
    </w:p>
    <w:p w:rsidR="000F5941" w:rsidRDefault="000F5941" w:rsidP="00BC7DA0"/>
    <w:p w:rsidR="000F5941" w:rsidRDefault="000F5941" w:rsidP="00BC7DA0">
      <w:r>
        <w:tab/>
        <w:t xml:space="preserve">RESA also states that </w:t>
      </w:r>
      <w:r w:rsidRPr="007C62F2">
        <w:t xml:space="preserve">the </w:t>
      </w:r>
      <w:r>
        <w:t>Commission’s</w:t>
      </w:r>
      <w:r w:rsidRPr="007C62F2">
        <w:t xml:space="preserve"> recent Retail Markets Order comprehensively addressed the issue of public disclosure of ESCO customer pricing data</w:t>
      </w:r>
      <w:r>
        <w:t xml:space="preserve"> and </w:t>
      </w:r>
      <w:r w:rsidRPr="007C62F2">
        <w:t>established discrete mechanisms to provide consumers with such</w:t>
      </w:r>
      <w:r>
        <w:t xml:space="preserve"> </w:t>
      </w:r>
      <w:r w:rsidRPr="007C62F2">
        <w:t>information in a regulated environment subject to Commission oversight.</w:t>
      </w:r>
      <w:r>
        <w:t xml:space="preserve"> I note that the Order </w:t>
      </w:r>
      <w:r w:rsidRPr="007C62F2">
        <w:t>directed utilities</w:t>
      </w:r>
      <w:r>
        <w:t xml:space="preserve"> to</w:t>
      </w:r>
      <w:r w:rsidRPr="007C62F2">
        <w:t xml:space="preserve"> develop and implement a</w:t>
      </w:r>
      <w:r>
        <w:t>n</w:t>
      </w:r>
      <w:r w:rsidRPr="007C62F2">
        <w:t xml:space="preserve"> historical bill</w:t>
      </w:r>
      <w:r>
        <w:t xml:space="preserve"> </w:t>
      </w:r>
      <w:r w:rsidRPr="007C62F2">
        <w:t>calculator on their websites t</w:t>
      </w:r>
      <w:r>
        <w:t>o</w:t>
      </w:r>
      <w:r w:rsidRPr="007C62F2">
        <w:t xml:space="preserve"> allow customers to compare their ESCO charges</w:t>
      </w:r>
      <w:r>
        <w:t xml:space="preserve"> </w:t>
      </w:r>
      <w:r w:rsidRPr="007C62F2">
        <w:t>with the charges the utility would have applied for the same period.</w:t>
      </w:r>
      <w:r>
        <w:rPr>
          <w:rStyle w:val="FootnoteReference"/>
        </w:rPr>
        <w:footnoteReference w:id="14"/>
      </w:r>
      <w:r>
        <w:t xml:space="preserve"> RESA argues that, by </w:t>
      </w:r>
      <w:r w:rsidRPr="007C62F2">
        <w:t>adopt</w:t>
      </w:r>
      <w:r>
        <w:t xml:space="preserve">ing the </w:t>
      </w:r>
      <w:r w:rsidRPr="007C62F2">
        <w:t xml:space="preserve">comprehensive regulatory structure </w:t>
      </w:r>
      <w:r>
        <w:t>governing</w:t>
      </w:r>
      <w:r w:rsidRPr="007C62F2">
        <w:t xml:space="preserve"> customer access to ESCO</w:t>
      </w:r>
      <w:r>
        <w:t xml:space="preserve"> </w:t>
      </w:r>
      <w:r w:rsidRPr="007C62F2">
        <w:t>pricing data</w:t>
      </w:r>
      <w:r>
        <w:t xml:space="preserve">, the </w:t>
      </w:r>
      <w:r w:rsidRPr="007C62F2">
        <w:t>Commission has</w:t>
      </w:r>
      <w:r>
        <w:t xml:space="preserve"> </w:t>
      </w:r>
      <w:r w:rsidRPr="007C62F2">
        <w:t xml:space="preserve">rejected </w:t>
      </w:r>
      <w:r>
        <w:t xml:space="preserve">other disclosure mechanisms. RESA declares </w:t>
      </w:r>
      <w:r w:rsidRPr="007C62F2">
        <w:t xml:space="preserve">that </w:t>
      </w:r>
      <w:r>
        <w:t xml:space="preserve">Commission </w:t>
      </w:r>
      <w:r w:rsidRPr="007C62F2">
        <w:t>precedent under FOIL</w:t>
      </w:r>
      <w:r>
        <w:t xml:space="preserve"> </w:t>
      </w:r>
      <w:r w:rsidRPr="007C62F2">
        <w:t xml:space="preserve">is to </w:t>
      </w:r>
      <w:r>
        <w:t>protect</w:t>
      </w:r>
      <w:r w:rsidRPr="007C62F2">
        <w:t xml:space="preserve"> ESCO</w:t>
      </w:r>
      <w:r>
        <w:t>-</w:t>
      </w:r>
      <w:r w:rsidRPr="007C62F2">
        <w:t>specific</w:t>
      </w:r>
      <w:r>
        <w:t xml:space="preserve"> </w:t>
      </w:r>
      <w:r w:rsidRPr="007C62F2">
        <w:t xml:space="preserve">operating data </w:t>
      </w:r>
      <w:r>
        <w:t xml:space="preserve">from disclosure, and that </w:t>
      </w:r>
      <w:r w:rsidRPr="007C62F2">
        <w:t xml:space="preserve">the Retail Markets Order </w:t>
      </w:r>
      <w:r>
        <w:t xml:space="preserve">established the process for the </w:t>
      </w:r>
      <w:r w:rsidRPr="007C62F2">
        <w:t>release and dissemination of</w:t>
      </w:r>
      <w:r>
        <w:t xml:space="preserve"> ESCO </w:t>
      </w:r>
      <w:r w:rsidRPr="007C62F2">
        <w:t>customer pricing</w:t>
      </w:r>
      <w:r>
        <w:t xml:space="preserve"> data. </w:t>
      </w:r>
    </w:p>
    <w:p w:rsidR="000F5941" w:rsidRPr="007C62F2" w:rsidRDefault="000F5941" w:rsidP="00BC7DA0"/>
    <w:p w:rsidR="000F5941" w:rsidRDefault="000F5941" w:rsidP="00BC7DA0">
      <w:r>
        <w:tab/>
        <w:t xml:space="preserve">Finally, RESA argues that </w:t>
      </w:r>
      <w:r w:rsidRPr="007C62F2">
        <w:t xml:space="preserve">disclosure of the ESCO specific data </w:t>
      </w:r>
      <w:r>
        <w:t xml:space="preserve">at issue here could </w:t>
      </w:r>
      <w:r w:rsidRPr="007C62F2">
        <w:t xml:space="preserve">affect </w:t>
      </w:r>
      <w:r>
        <w:t>an</w:t>
      </w:r>
      <w:r w:rsidRPr="007C62F2">
        <w:t xml:space="preserve"> ESCO</w:t>
      </w:r>
      <w:r>
        <w:t>’</w:t>
      </w:r>
      <w:r w:rsidRPr="007C62F2">
        <w:t>s ability to procure energy supplies on</w:t>
      </w:r>
      <w:r>
        <w:t xml:space="preserve"> </w:t>
      </w:r>
      <w:r w:rsidRPr="007C62F2">
        <w:t>favorable terms</w:t>
      </w:r>
      <w:r>
        <w:t>,</w:t>
      </w:r>
      <w:r w:rsidRPr="007C62F2">
        <w:t xml:space="preserve"> because disclosure would provide potential suppliers with knowledge of</w:t>
      </w:r>
      <w:r>
        <w:t xml:space="preserve"> an</w:t>
      </w:r>
      <w:r w:rsidRPr="007C62F2">
        <w:t xml:space="preserve"> ESCO</w:t>
      </w:r>
      <w:r>
        <w:t>’</w:t>
      </w:r>
      <w:r w:rsidRPr="007C62F2">
        <w:t>s p</w:t>
      </w:r>
      <w:r>
        <w:t xml:space="preserve">articular </w:t>
      </w:r>
      <w:r w:rsidRPr="007C62F2">
        <w:t>supply needs where it provides service, and potentially give</w:t>
      </w:r>
      <w:r>
        <w:t xml:space="preserve"> </w:t>
      </w:r>
      <w:r w:rsidRPr="007C62F2">
        <w:t xml:space="preserve">suppliers an unfair competitive advantage by enabling them to </w:t>
      </w:r>
      <w:r>
        <w:t>charge</w:t>
      </w:r>
      <w:r w:rsidRPr="007C62F2">
        <w:t xml:space="preserve"> higher prices.</w:t>
      </w:r>
      <w:r>
        <w:rPr>
          <w:rStyle w:val="FootnoteReference"/>
        </w:rPr>
        <w:footnoteReference w:id="15"/>
      </w:r>
    </w:p>
    <w:p w:rsidR="000F5941" w:rsidRDefault="000F5941" w:rsidP="00BC7DA0">
      <w:pPr>
        <w:rPr>
          <w:b/>
          <w:bCs/>
          <w:u w:val="single"/>
        </w:rPr>
      </w:pPr>
    </w:p>
    <w:p w:rsidR="000F5941" w:rsidRPr="00045602" w:rsidRDefault="000F5941" w:rsidP="00BC7DA0">
      <w:pPr>
        <w:rPr>
          <w:b/>
          <w:bCs/>
          <w:u w:val="single"/>
        </w:rPr>
      </w:pPr>
      <w:r w:rsidRPr="00045602">
        <w:rPr>
          <w:b/>
          <w:bCs/>
          <w:u w:val="single"/>
        </w:rPr>
        <w:t>Statement of Applicable Law</w:t>
      </w:r>
    </w:p>
    <w:p w:rsidR="000F5941" w:rsidRPr="00045602" w:rsidRDefault="000F5941" w:rsidP="00BC7DA0"/>
    <w:p w:rsidR="000F5941" w:rsidRDefault="000F5941" w:rsidP="00EB56B4">
      <w:pPr>
        <w:ind w:firstLine="720"/>
        <w:rPr>
          <w:color w:val="000000"/>
        </w:rPr>
      </w:pPr>
      <w:r w:rsidRPr="00045602">
        <w:rPr>
          <w:color w:val="000000"/>
        </w:rPr>
        <w:t xml:space="preserve">POL §87(2) provides, in pertinent part: </w:t>
      </w:r>
      <w:r>
        <w:rPr>
          <w:color w:val="000000"/>
        </w:rPr>
        <w:t>“</w:t>
      </w:r>
      <w:r w:rsidRPr="00045602">
        <w:rPr>
          <w:color w:val="000000"/>
        </w:rPr>
        <w:t xml:space="preserve">Each agency shall, in accordance with its published rules, make available for public inspection and copying all records, except that such agency may deny access to records or portions thereof that: . . . </w:t>
      </w:r>
      <w:r w:rsidRPr="00045602">
        <w:t>(d) are trade secrets or are submitted to an agency by a commercial enterprise or derived from information obtained from a commercial enterprise and which if disclosed would cause substantial injury to the competitive position of the subject enterprise.</w:t>
      </w:r>
      <w:r>
        <w:t>”</w:t>
      </w:r>
      <w:r w:rsidRPr="00045602">
        <w:rPr>
          <w:color w:val="000000"/>
        </w:rPr>
        <w:t xml:space="preserve"> </w:t>
      </w:r>
    </w:p>
    <w:p w:rsidR="000F5941" w:rsidRPr="00045602" w:rsidRDefault="000F5941" w:rsidP="00EB56B4">
      <w:pPr>
        <w:ind w:firstLine="720"/>
        <w:rPr>
          <w:color w:val="000000"/>
        </w:rPr>
      </w:pPr>
    </w:p>
    <w:p w:rsidR="000F5941" w:rsidRDefault="000F5941" w:rsidP="00EB56B4">
      <w:pPr>
        <w:ind w:firstLine="720"/>
      </w:pPr>
      <w:r w:rsidRPr="00045602">
        <w:t xml:space="preserve">The Court of Appeals, in </w:t>
      </w:r>
      <w:r w:rsidRPr="00045602">
        <w:rPr>
          <w:u w:val="single"/>
        </w:rPr>
        <w:t>Matter of New York Telephone Co. v. Public Service Commission</w:t>
      </w:r>
      <w:r w:rsidRPr="00045602">
        <w:t>,</w:t>
      </w:r>
      <w:r w:rsidRPr="00045602">
        <w:rPr>
          <w:rStyle w:val="FootnoteReference"/>
        </w:rPr>
        <w:footnoteReference w:id="16"/>
      </w:r>
      <w:r w:rsidRPr="00045602">
        <w:t xml:space="preserve"> held that the Commission had not only the power but also the affirmative responsibility to provide for the protection of trade secrets and cited the definition of “trade secret” contained in Restatement of Torts §757, comment (b) (1939).</w:t>
      </w:r>
      <w:r w:rsidRPr="00045602">
        <w:rPr>
          <w:rStyle w:val="FootnoteReference"/>
        </w:rPr>
        <w:footnoteReference w:id="17"/>
      </w:r>
      <w:r w:rsidRPr="00045602">
        <w:t xml:space="preserve">  Thereafter, the Commission adopted a virtually identical definition of “trade secret</w:t>
      </w:r>
      <w:r>
        <w:t>.</w:t>
      </w:r>
      <w:r w:rsidRPr="00045602">
        <w:t>”</w:t>
      </w:r>
      <w:r>
        <w:t xml:space="preserve">  The Commission’s definition reads as follows:</w:t>
      </w:r>
      <w:r w:rsidRPr="00045602">
        <w:t xml:space="preserve"> “A trade secret may consist of any formula, pattern, device or compilation of information which is used in one’s business, and which provides an opportunity to obtain an advantage over competitors who do not know or use it.”</w:t>
      </w:r>
      <w:r>
        <w:rPr>
          <w:rStyle w:val="FootnoteReference"/>
        </w:rPr>
        <w:footnoteReference w:id="18"/>
      </w:r>
    </w:p>
    <w:p w:rsidR="000F5941" w:rsidRPr="00045602" w:rsidRDefault="000F5941" w:rsidP="00EB56B4">
      <w:pPr>
        <w:ind w:firstLine="720"/>
      </w:pPr>
    </w:p>
    <w:p w:rsidR="000F5941" w:rsidRDefault="000F5941" w:rsidP="00EB56B4">
      <w:pPr>
        <w:ind w:firstLine="720"/>
      </w:pPr>
      <w:r w:rsidRPr="00045602">
        <w:t xml:space="preserve">The Court of Appeals, in </w:t>
      </w:r>
      <w:r w:rsidRPr="00045602">
        <w:rPr>
          <w:u w:val="single"/>
        </w:rPr>
        <w:t>Encore Coll. Bookstores v Auxiliary Serv. Corp. of State Univ. of N.Y.</w:t>
      </w:r>
      <w:r w:rsidRPr="00045602">
        <w:t>,</w:t>
      </w:r>
      <w:r w:rsidRPr="00045602">
        <w:rPr>
          <w:rStyle w:val="FootnoteReference"/>
        </w:rPr>
        <w:footnoteReference w:id="19"/>
      </w:r>
      <w:r w:rsidRPr="00045602">
        <w:t xml:space="preserve"> stated that the Legislature </w:t>
      </w:r>
      <w:r>
        <w:t xml:space="preserve">intended </w:t>
      </w:r>
      <w:r w:rsidRPr="00045602">
        <w:t>that the “substantial injury to the competitive position” language of POL §87(2</w:t>
      </w:r>
      <w:proofErr w:type="gramStart"/>
      <w:r w:rsidRPr="00045602">
        <w:t>)(</w:t>
      </w:r>
      <w:proofErr w:type="gramEnd"/>
      <w:r w:rsidRPr="00045602">
        <w:t xml:space="preserve">d) should be similar in scope to the “substantial competitive harm” test announced in </w:t>
      </w:r>
      <w:r w:rsidRPr="00045602">
        <w:rPr>
          <w:u w:val="single"/>
        </w:rPr>
        <w:t>National Parks and Conservation Association v. Morton</w:t>
      </w:r>
      <w:r w:rsidRPr="00045602">
        <w:t>,</w:t>
      </w:r>
      <w:r w:rsidRPr="00045602">
        <w:rPr>
          <w:rStyle w:val="FootnoteReference"/>
        </w:rPr>
        <w:footnoteReference w:id="20"/>
      </w:r>
      <w:r w:rsidRPr="00045602">
        <w:t xml:space="preserve"> a case that arose under the federal Freedom of Information Act.  </w:t>
      </w:r>
      <w:r>
        <w:t>The Court of Appeals</w:t>
      </w:r>
      <w:r w:rsidRPr="00045602">
        <w:t xml:space="preserve"> concluded that the </w:t>
      </w:r>
      <w:r>
        <w:t xml:space="preserve">test does not require the </w:t>
      </w:r>
      <w:r w:rsidRPr="00045602">
        <w:t xml:space="preserve">information submitting enterprise to establish actual competitive harm.  Rather, </w:t>
      </w:r>
      <w:r>
        <w:t>the party asserting an exemption from disclosure must show</w:t>
      </w:r>
      <w:r w:rsidRPr="00045602">
        <w:t xml:space="preserve"> “actual competition and the likelihood of substantial competitive injury.</w:t>
      </w:r>
      <w:r>
        <w:t>”</w:t>
      </w:r>
      <w:r w:rsidRPr="00045602">
        <w:rPr>
          <w:rStyle w:val="FootnoteReference"/>
        </w:rPr>
        <w:footnoteReference w:id="21"/>
      </w:r>
    </w:p>
    <w:p w:rsidR="002703B2" w:rsidRDefault="002703B2" w:rsidP="00EB56B4">
      <w:pPr>
        <w:ind w:firstLine="720"/>
      </w:pPr>
    </w:p>
    <w:p w:rsidR="000F5941" w:rsidRPr="00D97074" w:rsidRDefault="000F5941" w:rsidP="00BC7DA0">
      <w:pPr>
        <w:autoSpaceDE w:val="0"/>
        <w:autoSpaceDN w:val="0"/>
        <w:adjustRightInd w:val="0"/>
        <w:rPr>
          <w:color w:val="000000"/>
        </w:rPr>
      </w:pPr>
      <w:r>
        <w:rPr>
          <w:color w:val="000000"/>
        </w:rPr>
        <w:tab/>
      </w:r>
      <w:r w:rsidRPr="00D97074">
        <w:rPr>
          <w:color w:val="000000"/>
        </w:rPr>
        <w:t xml:space="preserve">While “competitive injury” is not defined by the statutes, regulations, or case law, the Court of Appeals has interpreted the phrase </w:t>
      </w:r>
      <w:r>
        <w:rPr>
          <w:color w:val="000000"/>
        </w:rPr>
        <w:t>in subsequent decisions</w:t>
      </w:r>
      <w:r w:rsidRPr="00D97074">
        <w:rPr>
          <w:color w:val="000000"/>
        </w:rPr>
        <w:t xml:space="preserve">. In 2008, the Court appears to have “raised the bar” as to what is necessary to sustain the burden of proof required to exempt information from public disclosure in </w:t>
      </w:r>
      <w:r w:rsidRPr="00D97074">
        <w:rPr>
          <w:color w:val="000000"/>
          <w:u w:val="single"/>
        </w:rPr>
        <w:t xml:space="preserve">Markowitz v. </w:t>
      </w:r>
      <w:proofErr w:type="spellStart"/>
      <w:r w:rsidRPr="00D97074">
        <w:rPr>
          <w:color w:val="000000"/>
          <w:u w:val="single"/>
        </w:rPr>
        <w:t>Serio</w:t>
      </w:r>
      <w:proofErr w:type="spellEnd"/>
      <w:r w:rsidRPr="00D97074">
        <w:rPr>
          <w:color w:val="000000"/>
        </w:rPr>
        <w:t>,</w:t>
      </w:r>
      <w:r>
        <w:rPr>
          <w:rStyle w:val="FootnoteReference"/>
          <w:color w:val="000000"/>
        </w:rPr>
        <w:footnoteReference w:id="22"/>
      </w:r>
      <w:r w:rsidRPr="00D97074">
        <w:rPr>
          <w:color w:val="000000"/>
        </w:rPr>
        <w:t xml:space="preserve"> a case involving the New York State Insurance Department and the issue of “redlining.” There the Court stated that “to meet its burden, the party seeking exemption must present specific, persuasive evidence that disclosure will cause it to suffer a competitive injury; it cannot merely rest on a speculative conclusion that disclosure might potentially cause harm.”</w:t>
      </w:r>
      <w:r>
        <w:rPr>
          <w:rStyle w:val="FootnoteReference"/>
          <w:color w:val="000000"/>
        </w:rPr>
        <w:footnoteReference w:id="23"/>
      </w:r>
      <w:r w:rsidRPr="00D97074">
        <w:rPr>
          <w:color w:val="000000"/>
        </w:rPr>
        <w:t xml:space="preserve"> </w:t>
      </w:r>
    </w:p>
    <w:p w:rsidR="000F5941" w:rsidRDefault="000F5941" w:rsidP="00615625">
      <w:pPr>
        <w:autoSpaceDE w:val="0"/>
        <w:autoSpaceDN w:val="0"/>
        <w:adjustRightInd w:val="0"/>
        <w:rPr>
          <w:color w:val="000000"/>
        </w:rPr>
      </w:pPr>
      <w:r w:rsidRPr="00D97074">
        <w:rPr>
          <w:color w:val="000000"/>
          <w:sz w:val="16"/>
          <w:szCs w:val="16"/>
        </w:rPr>
        <w:t xml:space="preserve"> </w:t>
      </w:r>
      <w:r w:rsidRPr="00D97074">
        <w:rPr>
          <w:color w:val="000000"/>
        </w:rPr>
        <w:tab/>
      </w:r>
    </w:p>
    <w:p w:rsidR="000F5941" w:rsidRDefault="000F5941" w:rsidP="00BC7DA0">
      <w:pPr>
        <w:rPr>
          <w:b/>
          <w:bCs/>
          <w:u w:val="single"/>
        </w:rPr>
      </w:pPr>
      <w:r w:rsidRPr="00045602">
        <w:rPr>
          <w:b/>
          <w:bCs/>
          <w:u w:val="single"/>
        </w:rPr>
        <w:t>Application of Pertinent Law</w:t>
      </w:r>
    </w:p>
    <w:p w:rsidR="000F5941" w:rsidRDefault="000F5941" w:rsidP="00BC7DA0">
      <w:pPr>
        <w:rPr>
          <w:b/>
          <w:bCs/>
          <w:u w:val="single"/>
        </w:rPr>
      </w:pPr>
    </w:p>
    <w:p w:rsidR="000F5941" w:rsidRDefault="000F5941" w:rsidP="00100D59">
      <w:pPr>
        <w:autoSpaceDE w:val="0"/>
        <w:autoSpaceDN w:val="0"/>
        <w:adjustRightInd w:val="0"/>
      </w:pPr>
      <w:r>
        <w:tab/>
        <w:t xml:space="preserve">First, I find that the orders and rulings cited by RESA are not applicable in this case and do not have any binding effect on the issues presented here.  RESA misapplies the various Commission, Secretary and RAO rulings it cites to the facts at hand.  Neither the Commission’s UBP Order nor its Retail Markets Order addresses release of specific ESCO pricing information.  Similarly, none of the rulings by the Secretary or RAO cited by RESA apply here as they deal with ESCO gas flow-through data for a specific period of time, the variable rate contract of Hess Corporation, and ESCO customer enrollment data.  None of the aforementioned precedents addresses release of pricing information alone.  </w:t>
      </w:r>
    </w:p>
    <w:p w:rsidR="000F5941" w:rsidRDefault="000F5941" w:rsidP="00BC7DA0"/>
    <w:p w:rsidR="000F5941" w:rsidRDefault="000F5941">
      <w:pPr>
        <w:ind w:firstLine="720"/>
      </w:pPr>
      <w:r>
        <w:t xml:space="preserve">Given RESA’s contention that the pricing information in question is a trade secret or confidential commercial information, </w:t>
      </w:r>
      <w:r w:rsidRPr="007F53A0">
        <w:t>the two</w:t>
      </w:r>
      <w:r w:rsidRPr="007F53A0">
        <w:rPr>
          <w:rFonts w:ascii="Cambria Math" w:hAnsi="Cambria Math" w:cs="Cambria Math"/>
        </w:rPr>
        <w:t>‐</w:t>
      </w:r>
      <w:r w:rsidRPr="007F53A0">
        <w:t xml:space="preserve">pronged test established by the Court </w:t>
      </w:r>
      <w:r>
        <w:t xml:space="preserve">of Appeals </w:t>
      </w:r>
      <w:r w:rsidRPr="007F53A0">
        <w:t xml:space="preserve">in </w:t>
      </w:r>
      <w:r w:rsidRPr="002B187A">
        <w:rPr>
          <w:u w:val="single"/>
        </w:rPr>
        <w:t>Encore</w:t>
      </w:r>
      <w:r w:rsidRPr="007F53A0">
        <w:t xml:space="preserve"> is applicable. </w:t>
      </w:r>
      <w:r>
        <w:t xml:space="preserve">  </w:t>
      </w:r>
      <w:r w:rsidRPr="00636F8F">
        <w:t xml:space="preserve">In applying the first prong of the Encore test, </w:t>
      </w:r>
      <w:r w:rsidRPr="00636F8F">
        <w:rPr>
          <w:color w:val="000000"/>
        </w:rPr>
        <w:t>(in which the Court implicitly assumed the non-public nature of the information in question),</w:t>
      </w:r>
      <w:r w:rsidRPr="00636F8F">
        <w:rPr>
          <w:rFonts w:ascii="Arial" w:hAnsi="Arial" w:cs="Arial"/>
          <w:color w:val="000000"/>
        </w:rPr>
        <w:t xml:space="preserve"> </w:t>
      </w:r>
      <w:r w:rsidRPr="00636F8F">
        <w:t xml:space="preserve">the existence of competition must first be established.  </w:t>
      </w:r>
      <w:r>
        <w:t>I find that</w:t>
      </w:r>
      <w:r w:rsidRPr="00636F8F">
        <w:t xml:space="preserve"> the existence of competition in the electric</w:t>
      </w:r>
      <w:r w:rsidR="00BD03FC">
        <w:t xml:space="preserve"> and gas</w:t>
      </w:r>
      <w:r w:rsidRPr="00636F8F">
        <w:t xml:space="preserve"> industry in New York State has been established.</w:t>
      </w:r>
      <w:r>
        <w:rPr>
          <w:rStyle w:val="FootnoteReference"/>
        </w:rPr>
        <w:footnoteReference w:id="24"/>
      </w:r>
      <w:r>
        <w:t xml:space="preserve"> </w:t>
      </w:r>
    </w:p>
    <w:p w:rsidR="000F5941" w:rsidRDefault="000F5941">
      <w:pPr>
        <w:ind w:firstLine="720"/>
      </w:pPr>
    </w:p>
    <w:p w:rsidR="000F5941" w:rsidRDefault="000F5941">
      <w:pPr>
        <w:ind w:firstLine="720"/>
      </w:pPr>
      <w:r>
        <w:t xml:space="preserve">The second prong of the </w:t>
      </w:r>
      <w:r w:rsidRPr="00717D6B">
        <w:rPr>
          <w:u w:val="single"/>
        </w:rPr>
        <w:t>Encore</w:t>
      </w:r>
      <w:r>
        <w:t xml:space="preserve"> test </w:t>
      </w:r>
      <w:r w:rsidRPr="00636F8F">
        <w:t xml:space="preserve">turns on whether disclosure would be likely to cause </w:t>
      </w:r>
      <w:r>
        <w:t>“</w:t>
      </w:r>
      <w:r w:rsidRPr="00636F8F">
        <w:t>substantial injury to the competitive position of the enterprise.</w:t>
      </w:r>
      <w:r>
        <w:t>”</w:t>
      </w:r>
      <w:r w:rsidRPr="00636F8F">
        <w:t xml:space="preserve"> </w:t>
      </w:r>
      <w:r>
        <w:t>The Court i</w:t>
      </w:r>
      <w:r w:rsidRPr="00867FF8">
        <w:t xml:space="preserve">n </w:t>
      </w:r>
      <w:r w:rsidRPr="00045602">
        <w:rPr>
          <w:u w:val="single"/>
        </w:rPr>
        <w:t>Ashland Management, Inc.</w:t>
      </w:r>
      <w:r w:rsidRPr="00867FF8">
        <w:t xml:space="preserve"> stated that one of the consider</w:t>
      </w:r>
      <w:r>
        <w:t xml:space="preserve">ations </w:t>
      </w:r>
      <w:r w:rsidRPr="00867FF8">
        <w:t xml:space="preserve">in deciding a trade secret claim </w:t>
      </w:r>
      <w:r>
        <w:t xml:space="preserve">is the </w:t>
      </w:r>
      <w:r w:rsidRPr="00867FF8">
        <w:t xml:space="preserve">value of the information to </w:t>
      </w:r>
      <w:r>
        <w:t>the enterprise and to his competitors.</w:t>
      </w:r>
      <w:r w:rsidRPr="007F51FA">
        <w:rPr>
          <w:rStyle w:val="FootnoteReference"/>
        </w:rPr>
        <w:t xml:space="preserve"> </w:t>
      </w:r>
      <w:r w:rsidRPr="008E09B5">
        <w:rPr>
          <w:rStyle w:val="FootnoteReference"/>
        </w:rPr>
        <w:footnoteReference w:id="25"/>
      </w:r>
      <w:r w:rsidRPr="00867FF8">
        <w:t xml:space="preserve"> </w:t>
      </w:r>
      <w:r w:rsidRPr="00636F8F">
        <w:t xml:space="preserve"> In this regard, </w:t>
      </w:r>
      <w:r w:rsidRPr="00636F8F">
        <w:rPr>
          <w:color w:val="000000"/>
        </w:rPr>
        <w:t>I first note that almost all information possessed by a business would have some commercial value to its competitors; however, the question is whether the information at issue is sufficiently valuable that its disclosure would be likely to cause substantial competitive injury</w:t>
      </w:r>
      <w:r>
        <w:rPr>
          <w:color w:val="000000"/>
        </w:rPr>
        <w:t xml:space="preserve">.  In examining this issue, I also note that, </w:t>
      </w:r>
      <w:r>
        <w:t>b</w:t>
      </w:r>
      <w:r w:rsidRPr="00286B0D">
        <w:t xml:space="preserve">ecause the overall purpose of </w:t>
      </w:r>
      <w:r>
        <w:t>the statute</w:t>
      </w:r>
      <w:r w:rsidRPr="00286B0D">
        <w:t xml:space="preserve"> is to ensure that the public is afforded access to governmental records, FOIL exemptions are interpreted narrowly.</w:t>
      </w:r>
      <w:r w:rsidRPr="00286B0D">
        <w:rPr>
          <w:rStyle w:val="FootnoteReference"/>
        </w:rPr>
        <w:footnoteReference w:id="26"/>
      </w:r>
      <w:r w:rsidRPr="00286B0D">
        <w:t xml:space="preserve">  </w:t>
      </w:r>
      <w:r>
        <w:t xml:space="preserve">The Court of Appeals restated this principle in </w:t>
      </w:r>
      <w:r w:rsidRPr="00045602">
        <w:rPr>
          <w:u w:val="single"/>
        </w:rPr>
        <w:t>Matter of Capital Newspapers v. Burns</w:t>
      </w:r>
      <w:r w:rsidRPr="00045602">
        <w:t xml:space="preserve">, </w:t>
      </w:r>
      <w:r>
        <w:t xml:space="preserve">and </w:t>
      </w:r>
      <w:r w:rsidRPr="00045602">
        <w:t xml:space="preserve">held that </w:t>
      </w:r>
      <w:r>
        <w:t xml:space="preserve">the </w:t>
      </w:r>
      <w:r w:rsidRPr="00045602">
        <w:t xml:space="preserve">party </w:t>
      </w:r>
      <w:r>
        <w:t xml:space="preserve">resisting disclosure </w:t>
      </w:r>
      <w:r w:rsidRPr="00045602">
        <w:t>must demonstrate a particularized and specific justification for denying access.</w:t>
      </w:r>
      <w:r w:rsidRPr="009E595C">
        <w:rPr>
          <w:rStyle w:val="FootnoteReference"/>
        </w:rPr>
        <w:t xml:space="preserve"> </w:t>
      </w:r>
      <w:r w:rsidRPr="00045602">
        <w:rPr>
          <w:rStyle w:val="FootnoteReference"/>
        </w:rPr>
        <w:footnoteReference w:id="27"/>
      </w:r>
      <w:r>
        <w:t xml:space="preserve"> </w:t>
      </w:r>
    </w:p>
    <w:p w:rsidR="000F5941" w:rsidRDefault="000F5941">
      <w:pPr>
        <w:ind w:firstLine="720"/>
      </w:pPr>
    </w:p>
    <w:p w:rsidR="000F5941" w:rsidRDefault="000F5941" w:rsidP="00100D59">
      <w:pPr>
        <w:autoSpaceDE w:val="0"/>
        <w:autoSpaceDN w:val="0"/>
        <w:adjustRightInd w:val="0"/>
      </w:pPr>
      <w:r>
        <w:tab/>
      </w:r>
      <w:r w:rsidRPr="00286B0D">
        <w:t>Here,</w:t>
      </w:r>
      <w:r>
        <w:t xml:space="preserve"> RESA </w:t>
      </w:r>
      <w:r w:rsidRPr="00286B0D">
        <w:t xml:space="preserve">failed to meet this burden. </w:t>
      </w:r>
      <w:r>
        <w:t xml:space="preserve">RESA has </w:t>
      </w:r>
      <w:r w:rsidRPr="00B670DD">
        <w:t xml:space="preserve">not </w:t>
      </w:r>
      <w:r>
        <w:t>demonstrated</w:t>
      </w:r>
      <w:r w:rsidRPr="00B670DD">
        <w:t xml:space="preserve"> that disclosure of the</w:t>
      </w:r>
      <w:r>
        <w:t xml:space="preserve"> pricing </w:t>
      </w:r>
      <w:r w:rsidRPr="00B670DD">
        <w:t xml:space="preserve">information would be likely to cause substantial injury to the competitive position of a commercial enterprise and therefore </w:t>
      </w:r>
      <w:r w:rsidRPr="00B670DD">
        <w:rPr>
          <w:color w:val="000000"/>
        </w:rPr>
        <w:t>ha</w:t>
      </w:r>
      <w:r>
        <w:rPr>
          <w:color w:val="000000"/>
        </w:rPr>
        <w:t>s</w:t>
      </w:r>
      <w:r w:rsidRPr="00B670DD">
        <w:rPr>
          <w:color w:val="000000"/>
        </w:rPr>
        <w:t xml:space="preserve"> not met the burden of proof </w:t>
      </w:r>
      <w:r>
        <w:rPr>
          <w:color w:val="000000"/>
        </w:rPr>
        <w:t>it</w:t>
      </w:r>
      <w:r w:rsidRPr="00B670DD">
        <w:rPr>
          <w:color w:val="000000"/>
        </w:rPr>
        <w:t xml:space="preserve"> bear</w:t>
      </w:r>
      <w:r>
        <w:rPr>
          <w:color w:val="000000"/>
        </w:rPr>
        <w:t>s</w:t>
      </w:r>
      <w:r w:rsidRPr="00B670DD">
        <w:rPr>
          <w:color w:val="000000"/>
        </w:rPr>
        <w:t xml:space="preserve"> pursuant to POL §89(5)(e). </w:t>
      </w:r>
      <w:r w:rsidRPr="00B670DD">
        <w:t xml:space="preserve"> In order to meet this burden, </w:t>
      </w:r>
      <w:r>
        <w:t>the party seeking non-disclosure</w:t>
      </w:r>
      <w:r w:rsidRPr="00B670DD">
        <w:t xml:space="preserve"> must provide the necessary causal link between the disclosure of the information and the likelihood that it would cause substantial injury to the competitive position of a commercial enterprise.  </w:t>
      </w:r>
      <w:r>
        <w:t xml:space="preserve">RESA did not accomplish this.  </w:t>
      </w:r>
      <w:r w:rsidRPr="00B670DD">
        <w:t>Mere conclusory allegations, without factual support, are insufficient to sustain non-disclosure.</w:t>
      </w:r>
      <w:r w:rsidRPr="00B670DD">
        <w:rPr>
          <w:rStyle w:val="FootnoteReference"/>
        </w:rPr>
        <w:footnoteReference w:id="28"/>
      </w:r>
      <w:r w:rsidRPr="00B670DD">
        <w:t xml:space="preserve">  The party resisting disclosure must demonstrate a particularized and specific justification for denying access.</w:t>
      </w:r>
      <w:r>
        <w:rPr>
          <w:rStyle w:val="FootnoteReference"/>
        </w:rPr>
        <w:footnoteReference w:id="29"/>
      </w:r>
      <w:r w:rsidRPr="00B670DD">
        <w:t xml:space="preserve"> </w:t>
      </w:r>
      <w:r w:rsidRPr="00286B0D">
        <w:t xml:space="preserve">The </w:t>
      </w:r>
      <w:r>
        <w:t xml:space="preserve">arguments </w:t>
      </w:r>
      <w:r w:rsidRPr="00286B0D">
        <w:t xml:space="preserve">suggesting </w:t>
      </w:r>
      <w:r>
        <w:t xml:space="preserve">that the ESCOs </w:t>
      </w:r>
      <w:r w:rsidRPr="00286B0D">
        <w:t xml:space="preserve">will suffer </w:t>
      </w:r>
      <w:r>
        <w:t xml:space="preserve">a </w:t>
      </w:r>
      <w:r w:rsidRPr="00286B0D">
        <w:t xml:space="preserve">competitive disadvantage </w:t>
      </w:r>
      <w:r>
        <w:t>from the release of the pricing information are</w:t>
      </w:r>
      <w:r w:rsidRPr="00286B0D">
        <w:t xml:space="preserve"> theoretical at best.</w:t>
      </w:r>
      <w:r>
        <w:t xml:space="preserve"> </w:t>
      </w:r>
      <w:r w:rsidRPr="00286B0D">
        <w:t xml:space="preserve"> </w:t>
      </w:r>
    </w:p>
    <w:p w:rsidR="000F5941" w:rsidRPr="00867FF8" w:rsidRDefault="000F5941" w:rsidP="00100D59">
      <w:pPr>
        <w:autoSpaceDE w:val="0"/>
        <w:autoSpaceDN w:val="0"/>
        <w:adjustRightInd w:val="0"/>
      </w:pPr>
    </w:p>
    <w:p w:rsidR="000F5941" w:rsidRDefault="000F5941">
      <w:pPr>
        <w:autoSpaceDE w:val="0"/>
        <w:autoSpaceDN w:val="0"/>
        <w:adjustRightInd w:val="0"/>
        <w:ind w:firstLine="720"/>
      </w:pPr>
      <w:r>
        <w:t>In addition to falling short on its burden, RESA’s arguments ignore the fact that the Utilities have continued to protect, and PULP has not requested information that would identify the individual ESCOs who provided the pricing data.  Thus, the information could have only minimal value to any competitors.  I am aware of one precedent that is on point, and it was cited by several of the Utilities in support of their decision to narrow their requests for exception from disclosure to the names and enrollment information of their ESCO customers.</w:t>
      </w:r>
      <w:r w:rsidRPr="005F51A9">
        <w:rPr>
          <w:rStyle w:val="FootnoteReference"/>
          <w:b/>
          <w:bCs/>
        </w:rPr>
        <w:t xml:space="preserve"> </w:t>
      </w:r>
      <w:r w:rsidRPr="005F51A9">
        <w:rPr>
          <w:rStyle w:val="FootnoteReference"/>
        </w:rPr>
        <w:footnoteReference w:id="30"/>
      </w:r>
      <w:r>
        <w:rPr>
          <w:b/>
          <w:bCs/>
        </w:rPr>
        <w:t xml:space="preserve">  </w:t>
      </w:r>
      <w:r w:rsidRPr="005F51A9">
        <w:t xml:space="preserve">In that </w:t>
      </w:r>
      <w:r>
        <w:t>case</w:t>
      </w:r>
      <w:r w:rsidRPr="005F51A9">
        <w:t xml:space="preserve">, </w:t>
      </w:r>
      <w:r>
        <w:t>the administrative law judges (</w:t>
      </w:r>
      <w:r w:rsidRPr="005F51A9">
        <w:t>ALJ</w:t>
      </w:r>
      <w:r>
        <w:t>s)</w:t>
      </w:r>
      <w:r w:rsidRPr="005F51A9">
        <w:t xml:space="preserve"> den</w:t>
      </w:r>
      <w:r>
        <w:t>ied</w:t>
      </w:r>
      <w:r w:rsidRPr="005F51A9">
        <w:t xml:space="preserve"> RESA’s motion for confidentiality for any internal analysis of the commodity prices charged to residential customers of ESCOs in comparison to the charges that would have been billed by Niagara Mohawk for electric or gas commodity for the period 2008-2011 and monthly for 2012 to date.  Th</w:t>
      </w:r>
      <w:r>
        <w:t>e</w:t>
      </w:r>
      <w:r w:rsidRPr="005F51A9">
        <w:t xml:space="preserve"> </w:t>
      </w:r>
      <w:r>
        <w:t>ruling</w:t>
      </w:r>
      <w:r w:rsidRPr="005F51A9">
        <w:t xml:space="preserve"> states that pricing information alone is unlikely to provide competitors with a competitive advantage and is unlikely to cause significant competitive injury to any specific ESCO.</w:t>
      </w:r>
      <w:r w:rsidRPr="005F51A9">
        <w:rPr>
          <w:rStyle w:val="FootnoteReference"/>
        </w:rPr>
        <w:footnoteReference w:id="31"/>
      </w:r>
      <w:r w:rsidRPr="005F51A9">
        <w:t xml:space="preserve"> </w:t>
      </w:r>
      <w:r>
        <w:t xml:space="preserve">At least one utility agreed with this statement.  </w:t>
      </w:r>
      <w:r w:rsidRPr="005F51A9">
        <w:t>NFGD stated that “</w:t>
      </w:r>
      <w:r>
        <w:t>[</w:t>
      </w:r>
      <w:r w:rsidRPr="005F51A9">
        <w:t>I</w:t>
      </w:r>
      <w:r>
        <w:t>]</w:t>
      </w:r>
      <w:r w:rsidRPr="005F51A9">
        <w:t xml:space="preserve">f aggregated pricing information is disclosed with no attribution, however, then it cannot result in competitive harm to the </w:t>
      </w:r>
      <w:proofErr w:type="gramStart"/>
      <w:r w:rsidRPr="005F51A9">
        <w:t>ESCO. . . .</w:t>
      </w:r>
      <w:proofErr w:type="gramEnd"/>
      <w:r>
        <w:t xml:space="preserve"> </w:t>
      </w:r>
      <w:r w:rsidRPr="005F51A9">
        <w:t>With ESCO names removed, the other information contained in the document is general in nature, and cannot, on its face, be attributed to any ESCO.”</w:t>
      </w:r>
      <w:r>
        <w:rPr>
          <w:rStyle w:val="FootnoteReference"/>
        </w:rPr>
        <w:footnoteReference w:id="32"/>
      </w:r>
      <w:r w:rsidRPr="005F51A9">
        <w:t xml:space="preserve">  </w:t>
      </w:r>
    </w:p>
    <w:p w:rsidR="000F5941" w:rsidRDefault="000F5941">
      <w:pPr>
        <w:autoSpaceDE w:val="0"/>
        <w:autoSpaceDN w:val="0"/>
        <w:adjustRightInd w:val="0"/>
        <w:ind w:firstLine="720"/>
      </w:pPr>
    </w:p>
    <w:p w:rsidR="000F5941" w:rsidRDefault="000F5941">
      <w:pPr>
        <w:ind w:firstLine="720"/>
        <w:rPr>
          <w:color w:val="000000"/>
        </w:rPr>
      </w:pPr>
      <w:r>
        <w:t xml:space="preserve">There is an additional reason to question the competitive value of the ESCO data and thus its entitlement to protection.  The information PULP </w:t>
      </w:r>
      <w:proofErr w:type="gramStart"/>
      <w:r>
        <w:t>requests is</w:t>
      </w:r>
      <w:proofErr w:type="gramEnd"/>
      <w:r>
        <w:t xml:space="preserve"> historical pricing information.  </w:t>
      </w:r>
      <w:r w:rsidRPr="00867FF8">
        <w:t xml:space="preserve">Specifically, </w:t>
      </w:r>
      <w:r w:rsidRPr="00867FF8">
        <w:rPr>
          <w:color w:val="000000"/>
        </w:rPr>
        <w:t xml:space="preserve">Niagara Mohawk provided monthly ESCO data </w:t>
      </w:r>
      <w:r>
        <w:rPr>
          <w:color w:val="000000"/>
        </w:rPr>
        <w:t xml:space="preserve">to Staff </w:t>
      </w:r>
      <w:r w:rsidRPr="00867FF8">
        <w:rPr>
          <w:color w:val="000000"/>
        </w:rPr>
        <w:t>that covered the 24</w:t>
      </w:r>
      <w:r>
        <w:rPr>
          <w:color w:val="000000"/>
        </w:rPr>
        <w:t>-</w:t>
      </w:r>
      <w:r w:rsidRPr="00867FF8">
        <w:rPr>
          <w:color w:val="000000"/>
        </w:rPr>
        <w:t>month period from August 2010 to July 2012.  Con Edison sampled monthly ESCO customer data from January 2012 to December 2012.  O&amp;R provided data for a single month; gas ESCO price information for January 2012 and electric ESCO price points for June 2012.  CHG&amp;E provided price comparisons between various ESCOs for February 2011, May 2011, June 2011, and June 2012.</w:t>
      </w:r>
      <w:r>
        <w:rPr>
          <w:color w:val="000000"/>
        </w:rPr>
        <w:t xml:space="preserve">  Thus, the most recent information is nearly16 months old. At this point, it is unlikely that it has any relevance to current market conditions or would provide any advantage to a competitor.  </w:t>
      </w:r>
    </w:p>
    <w:p w:rsidR="000F5941" w:rsidRDefault="000F5941" w:rsidP="00BD03FC">
      <w:pPr>
        <w:ind w:firstLine="720"/>
      </w:pPr>
    </w:p>
    <w:p w:rsidR="000F5941" w:rsidRDefault="000F5941" w:rsidP="00475072">
      <w:pPr>
        <w:autoSpaceDE w:val="0"/>
        <w:autoSpaceDN w:val="0"/>
        <w:adjustRightInd w:val="0"/>
      </w:pPr>
      <w:r>
        <w:tab/>
        <w:t>RESA also asserts that releasing the information about comparative ESCO and utility billing information will cause competitive harm to ESCOs as a class.</w:t>
      </w:r>
      <w:r>
        <w:rPr>
          <w:rStyle w:val="FootnoteReference"/>
        </w:rPr>
        <w:footnoteReference w:id="33"/>
      </w:r>
      <w:r>
        <w:t xml:space="preserve"> The Commission itself has addressed the performance of retail energy markets as a whole, for residential and small commercial customers and found that substantial changes to improve the market design are required. The Commission concluded:</w:t>
      </w:r>
    </w:p>
    <w:p w:rsidR="000F5941" w:rsidRDefault="000F5941" w:rsidP="00475072">
      <w:pPr>
        <w:autoSpaceDE w:val="0"/>
        <w:autoSpaceDN w:val="0"/>
        <w:adjustRightInd w:val="0"/>
        <w:rPr>
          <w:rFonts w:ascii="Helv" w:hAnsi="Helv" w:cs="Helv"/>
          <w:color w:val="000000"/>
          <w:sz w:val="20"/>
          <w:szCs w:val="20"/>
        </w:rPr>
      </w:pPr>
    </w:p>
    <w:p w:rsidR="000F5941" w:rsidRDefault="000F5941" w:rsidP="00475072">
      <w:pPr>
        <w:autoSpaceDE w:val="0"/>
        <w:autoSpaceDN w:val="0"/>
        <w:adjustRightInd w:val="0"/>
        <w:ind w:left="720" w:right="720"/>
        <w:rPr>
          <w:color w:val="000000"/>
        </w:rPr>
      </w:pPr>
      <w:r>
        <w:rPr>
          <w:color w:val="000000"/>
        </w:rPr>
        <w:t>“…</w:t>
      </w:r>
      <w:r w:rsidRPr="00962BAE">
        <w:rPr>
          <w:color w:val="000000"/>
        </w:rPr>
        <w:t xml:space="preserve"> </w:t>
      </w:r>
      <w:proofErr w:type="gramStart"/>
      <w:r w:rsidRPr="00962BAE">
        <w:rPr>
          <w:color w:val="000000"/>
        </w:rPr>
        <w:t>we</w:t>
      </w:r>
      <w:proofErr w:type="gramEnd"/>
      <w:r w:rsidRPr="00962BAE">
        <w:rPr>
          <w:color w:val="000000"/>
        </w:rPr>
        <w:t xml:space="preserve"> have several concerns about retail energy markets for residential and small non-residential customers.  We find that as currently structured, the retail energy commodity markets for residential and small non-residential customers cannot be considered to be workably competitive.  Although there are a large number of suppliers and buyers, and suppliers can readily enter and exit the market, the general absence of information on market conditions, particularly the price charged by competitors, is an impediment to effective competition.  Additionally, Staff's review shows a large variation in the price charged for energy commodity services with no value-added attributes, a result that is inconsistent with a workably competitive market.</w:t>
      </w:r>
      <w:r>
        <w:rPr>
          <w:color w:val="000000"/>
        </w:rPr>
        <w:t>”</w:t>
      </w:r>
      <w:r>
        <w:rPr>
          <w:rStyle w:val="FootnoteReference"/>
          <w:color w:val="000000"/>
        </w:rPr>
        <w:footnoteReference w:id="34"/>
      </w:r>
      <w:r w:rsidRPr="00962BAE">
        <w:rPr>
          <w:color w:val="000000"/>
        </w:rPr>
        <w:t xml:space="preserve">    </w:t>
      </w:r>
    </w:p>
    <w:p w:rsidR="000F5941" w:rsidRDefault="000F5941" w:rsidP="00475072">
      <w:pPr>
        <w:autoSpaceDE w:val="0"/>
        <w:autoSpaceDN w:val="0"/>
        <w:adjustRightInd w:val="0"/>
        <w:rPr>
          <w:rFonts w:ascii="Helv" w:hAnsi="Helv" w:cs="Helv"/>
          <w:color w:val="000000"/>
          <w:sz w:val="20"/>
          <w:szCs w:val="20"/>
        </w:rPr>
      </w:pPr>
    </w:p>
    <w:p w:rsidR="000F5941" w:rsidRPr="006B3FC1" w:rsidRDefault="000F5941" w:rsidP="00475072">
      <w:pPr>
        <w:autoSpaceDE w:val="0"/>
        <w:autoSpaceDN w:val="0"/>
        <w:adjustRightInd w:val="0"/>
        <w:rPr>
          <w:color w:val="000000"/>
        </w:rPr>
      </w:pPr>
      <w:r>
        <w:rPr>
          <w:color w:val="000000"/>
        </w:rPr>
        <w:tab/>
      </w:r>
      <w:r w:rsidRPr="00962BAE">
        <w:rPr>
          <w:color w:val="000000"/>
        </w:rPr>
        <w:t xml:space="preserve">This conclusion is based on the comprehensive review of retail energy markets conducted by Staff and the Commission.  The aggregate pricing information at issue here, with ESCO names removed, is simply some of the data reviewed by Staff and the Commission that supports that overall conclusion regarding retail energy markets for small customers.  </w:t>
      </w:r>
    </w:p>
    <w:p w:rsidR="000F5941" w:rsidRDefault="000F5941" w:rsidP="005F51A9">
      <w:pPr>
        <w:autoSpaceDE w:val="0"/>
        <w:autoSpaceDN w:val="0"/>
        <w:adjustRightInd w:val="0"/>
      </w:pPr>
    </w:p>
    <w:p w:rsidR="000F5941" w:rsidRPr="005B55C7" w:rsidRDefault="000F5941" w:rsidP="006C7F32">
      <w:r>
        <w:tab/>
      </w:r>
      <w:bookmarkStart w:id="0" w:name="_GoBack"/>
      <w:r>
        <w:t xml:space="preserve">Even if a slight degree of competitive injury could be shown, such demonstration would not rise to the level of substantial competitive injury.  Moreover, any de </w:t>
      </w:r>
      <w:proofErr w:type="spellStart"/>
      <w:r>
        <w:t>minimis</w:t>
      </w:r>
      <w:proofErr w:type="spellEnd"/>
      <w:r>
        <w:t xml:space="preserve"> harm would be outweighed both by the general policy favoring disclosure and the Commission’s specific policy favoring transparency in the retail access market.</w:t>
      </w:r>
      <w:r>
        <w:rPr>
          <w:rStyle w:val="FootnoteReference"/>
        </w:rPr>
        <w:footnoteReference w:id="35"/>
      </w:r>
      <w:r w:rsidRPr="00846DCE">
        <w:t xml:space="preserve"> </w:t>
      </w:r>
      <w:bookmarkEnd w:id="0"/>
      <w:r>
        <w:t xml:space="preserve">Most recently, the Commission issued an Order to </w:t>
      </w:r>
      <w:r w:rsidRPr="005B55C7">
        <w:t xml:space="preserve">improve </w:t>
      </w:r>
      <w:r>
        <w:t xml:space="preserve">the </w:t>
      </w:r>
      <w:r w:rsidRPr="005B55C7">
        <w:t>State’s retail energy markets serving the State’s two largest groups of customers, residential and small nonresidential customers.</w:t>
      </w:r>
      <w:r>
        <w:t xml:space="preserve"> </w:t>
      </w:r>
      <w:r w:rsidRPr="005B55C7">
        <w:t xml:space="preserve"> </w:t>
      </w:r>
      <w:r>
        <w:t xml:space="preserve">The Commission found that </w:t>
      </w:r>
      <w:r w:rsidRPr="005B55C7">
        <w:t>the markets are not providing sufficient</w:t>
      </w:r>
      <w:r>
        <w:t xml:space="preserve"> </w:t>
      </w:r>
      <w:r w:rsidRPr="005B55C7">
        <w:t>competition or innovation to properly serve consumers.</w:t>
      </w:r>
      <w:r>
        <w:t xml:space="preserve">  To assist its ongoing review of ESCOs the Commission </w:t>
      </w:r>
      <w:r w:rsidRPr="005B55C7">
        <w:t>direct</w:t>
      </w:r>
      <w:r>
        <w:t>ed</w:t>
      </w:r>
      <w:r w:rsidRPr="005B55C7">
        <w:t xml:space="preserve"> ESCOs to </w:t>
      </w:r>
      <w:r>
        <w:t xml:space="preserve">begin reporting </w:t>
      </w:r>
      <w:r w:rsidRPr="005B55C7">
        <w:t>historic</w:t>
      </w:r>
      <w:r>
        <w:t xml:space="preserve"> </w:t>
      </w:r>
      <w:r w:rsidRPr="005B55C7">
        <w:t xml:space="preserve">pricing </w:t>
      </w:r>
      <w:r>
        <w:t>data for dissemination to the public.</w:t>
      </w:r>
      <w:r>
        <w:rPr>
          <w:rStyle w:val="FootnoteReference"/>
        </w:rPr>
        <w:footnoteReference w:id="36"/>
      </w:r>
    </w:p>
    <w:p w:rsidR="000F5941" w:rsidRDefault="000F5941" w:rsidP="00C730BD">
      <w:pPr>
        <w:ind w:firstLine="720"/>
        <w:rPr>
          <w:b/>
          <w:bCs/>
        </w:rPr>
      </w:pPr>
      <w:bookmarkStart w:id="1" w:name="_Toc261446194"/>
      <w:bookmarkEnd w:id="1"/>
    </w:p>
    <w:p w:rsidR="000F5941" w:rsidRPr="00045602" w:rsidRDefault="000F5941" w:rsidP="0016557E">
      <w:pPr>
        <w:jc w:val="center"/>
        <w:rPr>
          <w:b/>
          <w:bCs/>
        </w:rPr>
      </w:pPr>
      <w:r w:rsidRPr="00045602">
        <w:rPr>
          <w:b/>
          <w:bCs/>
          <w:u w:val="single"/>
        </w:rPr>
        <w:t>CONCLUSION</w:t>
      </w:r>
    </w:p>
    <w:p w:rsidR="000F5941" w:rsidRDefault="000F5941" w:rsidP="003B5F18"/>
    <w:p w:rsidR="000F5941" w:rsidRDefault="000F5941" w:rsidP="003B5F18">
      <w:pPr>
        <w:spacing w:after="120"/>
      </w:pPr>
      <w:r>
        <w:rPr>
          <w:color w:val="000000"/>
        </w:rPr>
        <w:tab/>
      </w:r>
      <w:r w:rsidRPr="0052225A">
        <w:rPr>
          <w:color w:val="000000"/>
        </w:rPr>
        <w:t xml:space="preserve">In light of the forgoing, the </w:t>
      </w:r>
      <w:r>
        <w:rPr>
          <w:color w:val="000000"/>
        </w:rPr>
        <w:t xml:space="preserve">pricing </w:t>
      </w:r>
      <w:r w:rsidRPr="0052225A">
        <w:rPr>
          <w:color w:val="000000"/>
        </w:rPr>
        <w:t xml:space="preserve">information claimed by </w:t>
      </w:r>
      <w:r>
        <w:rPr>
          <w:color w:val="000000"/>
        </w:rPr>
        <w:t xml:space="preserve">RESA </w:t>
      </w:r>
      <w:r w:rsidRPr="0052225A">
        <w:rPr>
          <w:color w:val="000000"/>
        </w:rPr>
        <w:t>to be trade secrets or confidential commercial information do</w:t>
      </w:r>
      <w:r>
        <w:rPr>
          <w:color w:val="000000"/>
        </w:rPr>
        <w:t>es</w:t>
      </w:r>
      <w:r w:rsidRPr="0052225A">
        <w:rPr>
          <w:color w:val="000000"/>
        </w:rPr>
        <w:t xml:space="preserve"> not warrant an exception from </w:t>
      </w:r>
      <w:r>
        <w:rPr>
          <w:color w:val="000000"/>
        </w:rPr>
        <w:t xml:space="preserve">public </w:t>
      </w:r>
      <w:r w:rsidRPr="0052225A">
        <w:rPr>
          <w:color w:val="000000"/>
        </w:rPr>
        <w:t xml:space="preserve">disclosure. </w:t>
      </w:r>
      <w:r>
        <w:rPr>
          <w:color w:val="000000"/>
        </w:rPr>
        <w:t xml:space="preserve"> </w:t>
      </w:r>
      <w:r>
        <w:t xml:space="preserve">  </w:t>
      </w:r>
    </w:p>
    <w:p w:rsidR="000F5941" w:rsidRDefault="000F5941" w:rsidP="003B5F18">
      <w:pPr>
        <w:autoSpaceDE w:val="0"/>
        <w:autoSpaceDN w:val="0"/>
        <w:adjustRightInd w:val="0"/>
        <w:rPr>
          <w:color w:val="000000"/>
        </w:rPr>
      </w:pPr>
      <w:r>
        <w:rPr>
          <w:color w:val="000000"/>
        </w:rPr>
        <w:tab/>
      </w:r>
      <w:r w:rsidRPr="0052225A">
        <w:rPr>
          <w:color w:val="000000"/>
        </w:rPr>
        <w:t xml:space="preserve">Review of my determination may be sought, pursuant to POL §89(5)(c)(1), by filing a written appeal with </w:t>
      </w:r>
      <w:r>
        <w:rPr>
          <w:color w:val="000000"/>
        </w:rPr>
        <w:t>Kathleen H. Burgess</w:t>
      </w:r>
      <w:r w:rsidRPr="0052225A">
        <w:rPr>
          <w:color w:val="000000"/>
        </w:rPr>
        <w:t xml:space="preserve">, Secretary at the address given above, within seven business days of receipt of this determination. Unless a contrary showing is made, receipt will be presumed to have occurred on </w:t>
      </w:r>
      <w:r>
        <w:rPr>
          <w:color w:val="000000"/>
        </w:rPr>
        <w:t xml:space="preserve">March </w:t>
      </w:r>
      <w:r w:rsidR="00006443">
        <w:rPr>
          <w:color w:val="000000"/>
        </w:rPr>
        <w:t>27</w:t>
      </w:r>
      <w:r>
        <w:rPr>
          <w:color w:val="000000"/>
        </w:rPr>
        <w:t>, 2014</w:t>
      </w:r>
      <w:r w:rsidRPr="0052225A">
        <w:rPr>
          <w:color w:val="000000"/>
        </w:rPr>
        <w:t>, so the deadline for the receipt of any such written appeal is</w:t>
      </w:r>
      <w:r w:rsidR="00006443">
        <w:rPr>
          <w:color w:val="000000"/>
        </w:rPr>
        <w:t xml:space="preserve"> </w:t>
      </w:r>
      <w:r>
        <w:rPr>
          <w:color w:val="000000"/>
        </w:rPr>
        <w:t xml:space="preserve">April </w:t>
      </w:r>
      <w:r w:rsidR="00006443">
        <w:rPr>
          <w:color w:val="000000"/>
        </w:rPr>
        <w:t>8</w:t>
      </w:r>
      <w:r>
        <w:rPr>
          <w:color w:val="000000"/>
        </w:rPr>
        <w:t>, 2014</w:t>
      </w:r>
      <w:r w:rsidRPr="0052225A">
        <w:rPr>
          <w:color w:val="000000"/>
        </w:rPr>
        <w:t xml:space="preserve">. </w:t>
      </w:r>
    </w:p>
    <w:p w:rsidR="000F5941" w:rsidRPr="0052225A" w:rsidRDefault="000F5941" w:rsidP="003B5F18">
      <w:pPr>
        <w:autoSpaceDE w:val="0"/>
        <w:autoSpaceDN w:val="0"/>
        <w:adjustRightInd w:val="0"/>
        <w:rPr>
          <w:color w:val="000000"/>
        </w:rPr>
      </w:pPr>
    </w:p>
    <w:p w:rsidR="000F5941" w:rsidRDefault="000F5941" w:rsidP="003B5F18">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Very Truly Yours</w:t>
      </w:r>
      <w:r w:rsidRPr="0052225A">
        <w:rPr>
          <w:color w:val="000000"/>
        </w:rPr>
        <w:t>,</w:t>
      </w:r>
    </w:p>
    <w:p w:rsidR="000F5941" w:rsidRDefault="000F5941" w:rsidP="003B5F18">
      <w:pPr>
        <w:autoSpaceDE w:val="0"/>
        <w:autoSpaceDN w:val="0"/>
        <w:adjustRightInd w:val="0"/>
        <w:rPr>
          <w:color w:val="000000"/>
        </w:rPr>
      </w:pPr>
      <w:r w:rsidRPr="0052225A">
        <w:rPr>
          <w:color w:val="000000"/>
        </w:rPr>
        <w:t xml:space="preserve"> </w:t>
      </w:r>
    </w:p>
    <w:p w:rsidR="00006443" w:rsidRDefault="00006443" w:rsidP="003B5F18">
      <w:pPr>
        <w:autoSpaceDE w:val="0"/>
        <w:autoSpaceDN w:val="0"/>
        <w:adjustRightInd w:val="0"/>
        <w:rPr>
          <w:color w:val="000000"/>
        </w:rPr>
      </w:pPr>
    </w:p>
    <w:p w:rsidR="000F5941" w:rsidRDefault="000F5941" w:rsidP="003B5F18">
      <w:pPr>
        <w:autoSpaceDE w:val="0"/>
        <w:autoSpaceDN w:val="0"/>
        <w:adjustRightInd w:val="0"/>
        <w:rPr>
          <w:color w:val="000000"/>
        </w:rPr>
      </w:pPr>
    </w:p>
    <w:p w:rsidR="000F5941" w:rsidRPr="0052225A" w:rsidRDefault="000F5941" w:rsidP="003B5F18">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52225A">
        <w:rPr>
          <w:color w:val="000000"/>
        </w:rPr>
        <w:t xml:space="preserve">Donna M. </w:t>
      </w:r>
      <w:proofErr w:type="spellStart"/>
      <w:r w:rsidRPr="0052225A">
        <w:rPr>
          <w:color w:val="000000"/>
        </w:rPr>
        <w:t>Giliberto</w:t>
      </w:r>
      <w:proofErr w:type="spellEnd"/>
      <w:r w:rsidRPr="0052225A">
        <w:rPr>
          <w:color w:val="000000"/>
        </w:rPr>
        <w:t xml:space="preserve"> </w:t>
      </w:r>
    </w:p>
    <w:p w:rsidR="000F5941" w:rsidRPr="0052225A" w:rsidRDefault="000F5941" w:rsidP="003B5F18">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52225A">
        <w:rPr>
          <w:color w:val="000000"/>
        </w:rPr>
        <w:t xml:space="preserve">Assistant Counsel &amp; Records Access Officer </w:t>
      </w:r>
    </w:p>
    <w:p w:rsidR="000F5941" w:rsidRPr="00BD0DAC" w:rsidRDefault="000F5941" w:rsidP="003B5F18"/>
    <w:p w:rsidR="000F5941" w:rsidRDefault="000F5941" w:rsidP="003B5F18">
      <w:r>
        <w:t>CC:</w:t>
      </w:r>
    </w:p>
    <w:p w:rsidR="000F5941" w:rsidRDefault="000F5941" w:rsidP="003B5F18">
      <w:pPr>
        <w:sectPr w:rsidR="000F5941" w:rsidSect="00FD57A9">
          <w:footerReference w:type="default" r:id="rId21"/>
          <w:type w:val="continuous"/>
          <w:pgSz w:w="12240" w:h="15840"/>
          <w:pgMar w:top="1080" w:right="1080" w:bottom="1080" w:left="1080" w:header="720" w:footer="720" w:gutter="0"/>
          <w:cols w:space="720"/>
          <w:formProt w:val="0"/>
          <w:noEndnote/>
          <w:titlePg/>
          <w:docGrid w:linePitch="326"/>
        </w:sectPr>
      </w:pPr>
    </w:p>
    <w:p w:rsidR="000F5941" w:rsidRDefault="0096353B" w:rsidP="003B5F18">
      <w:hyperlink r:id="rId22" w:history="1">
        <w:r w:rsidR="000F5941" w:rsidRPr="000A28A9">
          <w:rPr>
            <w:rStyle w:val="Hyperlink"/>
          </w:rPr>
          <w:t>Robert.freeman@dos.ny.gov</w:t>
        </w:r>
      </w:hyperlink>
    </w:p>
    <w:p w:rsidR="000F5941" w:rsidRDefault="000F5941" w:rsidP="003B5F18"/>
    <w:p w:rsidR="000F5941" w:rsidRDefault="0096353B" w:rsidP="003B5F18">
      <w:pPr>
        <w:autoSpaceDE w:val="0"/>
        <w:autoSpaceDN w:val="0"/>
        <w:adjustRightInd w:val="0"/>
        <w:rPr>
          <w:color w:val="000000"/>
        </w:rPr>
      </w:pPr>
      <w:hyperlink r:id="rId23" w:history="1">
        <w:r w:rsidR="000F5941" w:rsidRPr="00621C32">
          <w:rPr>
            <w:rStyle w:val="Hyperlink"/>
          </w:rPr>
          <w:t>abe@lightpowerandgas.com</w:t>
        </w:r>
      </w:hyperlink>
    </w:p>
    <w:p w:rsidR="000F5941" w:rsidRDefault="0096353B" w:rsidP="003B5F18">
      <w:pPr>
        <w:autoSpaceDE w:val="0"/>
        <w:autoSpaceDN w:val="0"/>
        <w:adjustRightInd w:val="0"/>
        <w:rPr>
          <w:color w:val="000000"/>
        </w:rPr>
      </w:pPr>
      <w:hyperlink r:id="rId24" w:history="1">
        <w:r w:rsidR="000F5941" w:rsidRPr="00621C32">
          <w:rPr>
            <w:rStyle w:val="Hyperlink"/>
          </w:rPr>
          <w:t>abe@northenergy.net</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25" w:history="1">
        <w:r w:rsidR="000F5941" w:rsidRPr="00621C32">
          <w:rPr>
            <w:rStyle w:val="Hyperlink"/>
          </w:rPr>
          <w:t>abiney@titannatgas.com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26" w:history="1">
        <w:r w:rsidR="000F5941" w:rsidRPr="00621C32">
          <w:rPr>
            <w:rStyle w:val="Hyperlink"/>
          </w:rPr>
          <w:t>aesses@galaxyenergyus.com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27" w:history="1">
        <w:r w:rsidR="000F5941" w:rsidRPr="00621C32">
          <w:rPr>
            <w:rStyle w:val="Hyperlink"/>
          </w:rPr>
          <w:t>agralla@abnenergy.com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28" w:history="1">
        <w:r w:rsidR="000F5941" w:rsidRPr="00621C32">
          <w:rPr>
            <w:rStyle w:val="Hyperlink"/>
          </w:rPr>
          <w:t>ahunt@ugies.com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29" w:history="1">
        <w:r w:rsidR="000F5941" w:rsidRPr="00621C32">
          <w:rPr>
            <w:rStyle w:val="Hyperlink"/>
          </w:rPr>
          <w:t>alan.schwab@genie.com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30" w:history="1">
        <w:r w:rsidR="000F5941" w:rsidRPr="00621C32">
          <w:rPr>
            <w:rStyle w:val="Hyperlink"/>
          </w:rPr>
          <w:t>alberto.daire@libertypowercorp.com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31" w:history="1">
        <w:r w:rsidR="000F5941" w:rsidRPr="00621C32">
          <w:rPr>
            <w:rStyle w:val="Hyperlink"/>
          </w:rPr>
          <w:t>alexg@eligoenergy.com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32" w:history="1">
        <w:r w:rsidR="000F5941" w:rsidRPr="00621C32">
          <w:rPr>
            <w:rStyle w:val="Hyperlink"/>
          </w:rPr>
          <w:t>ameristar123@optimum.net</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33" w:history="1">
        <w:r w:rsidR="000F5941" w:rsidRPr="00621C32">
          <w:rPr>
            <w:rStyle w:val="Hyperlink"/>
          </w:rPr>
          <w:t>ami.schwab@genie.com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34" w:history="1">
        <w:r w:rsidR="000F5941" w:rsidRPr="00621C32">
          <w:rPr>
            <w:rStyle w:val="Hyperlink"/>
          </w:rPr>
          <w:t>amilanese@ecpowerandgas.com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35" w:history="1">
        <w:r w:rsidR="000F5941" w:rsidRPr="00621C32">
          <w:rPr>
            <w:rStyle w:val="Hyperlink"/>
          </w:rPr>
          <w:t>ardah@lighthouseenergygroup.com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36" w:history="1">
        <w:r w:rsidR="000F5941" w:rsidRPr="00621C32">
          <w:rPr>
            <w:rStyle w:val="Hyperlink"/>
          </w:rPr>
          <w:t>arharris@ambitenergy.com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37" w:history="1">
        <w:r w:rsidR="000F5941" w:rsidRPr="00621C32">
          <w:rPr>
            <w:rStyle w:val="Hyperlink"/>
          </w:rPr>
          <w:t>arosen1@entergy.com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38" w:history="1">
        <w:r w:rsidR="000F5941" w:rsidRPr="00621C32">
          <w:rPr>
            <w:rStyle w:val="Hyperlink"/>
          </w:rPr>
          <w:t>asokol@plymouthenergy.com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39" w:history="1">
        <w:r w:rsidR="000F5941" w:rsidRPr="00621C32">
          <w:rPr>
            <w:rStyle w:val="Hyperlink"/>
          </w:rPr>
          <w:t>aundrea.williams@gexaenergy.com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40" w:history="1">
        <w:r w:rsidR="000F5941" w:rsidRPr="00621C32">
          <w:rPr>
            <w:rStyle w:val="Hyperlink"/>
          </w:rPr>
          <w:t>bdmap@aol.com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41" w:history="1">
        <w:r w:rsidR="000F5941" w:rsidRPr="00621C32">
          <w:rPr>
            <w:rStyle w:val="Hyperlink"/>
          </w:rPr>
          <w:t>bgoddard@noblesolutions.com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42" w:history="1">
        <w:r w:rsidR="000F5941" w:rsidRPr="00621C32">
          <w:rPr>
            <w:rStyle w:val="Hyperlink"/>
          </w:rPr>
          <w:t>bill@aggressiveny.com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43" w:history="1">
        <w:r w:rsidR="000F5941" w:rsidRPr="00621C32">
          <w:rPr>
            <w:rStyle w:val="Hyperlink"/>
          </w:rPr>
          <w:t>bobwoodruff@woodruffenergy.com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44" w:history="1">
        <w:r w:rsidR="000F5941" w:rsidRPr="00621C32">
          <w:rPr>
            <w:rStyle w:val="Hyperlink"/>
          </w:rPr>
          <w:t>bpalka@gridwayenergy.com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45" w:history="1">
        <w:r w:rsidR="000F5941" w:rsidRPr="00621C32">
          <w:rPr>
            <w:rStyle w:val="Hyperlink"/>
          </w:rPr>
          <w:t>bpatrick@infiniteenergy.com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46" w:history="1">
        <w:r w:rsidR="000F5941" w:rsidRPr="00621C32">
          <w:rPr>
            <w:rStyle w:val="Hyperlink"/>
          </w:rPr>
          <w:t>brownsfuel@si.rr.com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47" w:history="1">
        <w:r w:rsidR="000F5941" w:rsidRPr="00621C32">
          <w:rPr>
            <w:rStyle w:val="Hyperlink"/>
          </w:rPr>
          <w:t>bruno@flanderenergy.com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48" w:history="1">
        <w:r w:rsidR="000F5941" w:rsidRPr="00621C32">
          <w:rPr>
            <w:rStyle w:val="Hyperlink"/>
          </w:rPr>
          <w:t>bserratore@premierempireenergy.com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49" w:history="1">
        <w:r w:rsidR="000F5941" w:rsidRPr="00621C32">
          <w:rPr>
            <w:rStyle w:val="Hyperlink"/>
          </w:rPr>
          <w:t>btrombino@uerus.com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50" w:history="1">
        <w:r w:rsidR="000F5941" w:rsidRPr="00621C32">
          <w:rPr>
            <w:rStyle w:val="Hyperlink"/>
          </w:rPr>
          <w:t>capellaenergygas@gmail.com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51" w:history="1">
        <w:r w:rsidR="000F5941" w:rsidRPr="00621C32">
          <w:rPr>
            <w:rStyle w:val="Hyperlink"/>
          </w:rPr>
          <w:t>carey.drangula@glacialenergy.com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52" w:history="1">
        <w:r w:rsidR="000F5941" w:rsidRPr="00621C32">
          <w:rPr>
            <w:rStyle w:val="Hyperlink"/>
          </w:rPr>
          <w:t>carl.williams@entrustenergy.com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53" w:history="1">
        <w:r w:rsidR="000F5941" w:rsidRPr="00621C32">
          <w:rPr>
            <w:rStyle w:val="Hyperlink"/>
          </w:rPr>
          <w:t>cburke@noco.com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54" w:history="1">
        <w:r w:rsidR="000F5941" w:rsidRPr="00621C32">
          <w:rPr>
            <w:rStyle w:val="Hyperlink"/>
          </w:rPr>
          <w:t>cherie.fuller@edfenergyservices.com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55" w:history="1">
        <w:r w:rsidR="000F5941" w:rsidRPr="00621C32">
          <w:rPr>
            <w:rStyle w:val="Hyperlink"/>
          </w:rPr>
          <w:t>chris.hendrix@texasretailenergy.com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56" w:history="1">
        <w:r w:rsidR="000F5941" w:rsidRPr="00621C32">
          <w:rPr>
            <w:rStyle w:val="Hyperlink"/>
          </w:rPr>
          <w:t>chris.kallaher@directenergy.com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57" w:history="1">
        <w:r w:rsidR="000F5941" w:rsidRPr="00621C32">
          <w:rPr>
            <w:rStyle w:val="Hyperlink"/>
          </w:rPr>
          <w:t>chrisf@approvedoil.com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58" w:history="1">
        <w:r w:rsidR="000F5941" w:rsidRPr="00621C32">
          <w:rPr>
            <w:rStyle w:val="Hyperlink"/>
          </w:rPr>
          <w:t>contact@NextEnergyServices.com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59" w:history="1">
        <w:r w:rsidR="000F5941" w:rsidRPr="00621C32">
          <w:rPr>
            <w:rStyle w:val="Hyperlink"/>
          </w:rPr>
          <w:t>cory@energydiscounters.net</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0" w:history="1">
        <w:r w:rsidR="000F5941" w:rsidRPr="00621C32">
          <w:rPr>
            <w:rStyle w:val="Hyperlink"/>
          </w:rPr>
          <w:t>ctalawman@aol.com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1" w:history="1">
        <w:r w:rsidR="000F5941" w:rsidRPr="00621C32">
          <w:rPr>
            <w:rStyle w:val="Hyperlink"/>
          </w:rPr>
          <w:t>cweaver@apgellc.com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2" w:history="1">
        <w:r w:rsidR="000F5941" w:rsidRPr="00621C32">
          <w:rPr>
            <w:rStyle w:val="Hyperlink"/>
          </w:rPr>
          <w:t>dangianfalla@vrtcorp.com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3" w:history="1">
        <w:r w:rsidR="000F5941" w:rsidRPr="00621C32">
          <w:rPr>
            <w:rStyle w:val="Hyperlink"/>
          </w:rPr>
          <w:t>david.tudor@championenergyservices.com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4" w:history="1">
        <w:r w:rsidR="000F5941" w:rsidRPr="00621C32">
          <w:rPr>
            <w:rStyle w:val="Hyperlink"/>
          </w:rPr>
          <w:t>david@alphagne.com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5" w:history="1">
        <w:r w:rsidR="000F5941" w:rsidRPr="00621C32">
          <w:rPr>
            <w:rStyle w:val="Hyperlink"/>
          </w:rPr>
          <w:t>david@konaenergy.com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6" w:history="1">
        <w:r w:rsidR="000F5941" w:rsidRPr="00621C32">
          <w:rPr>
            <w:rStyle w:val="Hyperlink"/>
          </w:rPr>
          <w:t>davidl@llenergyny.com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7" w:history="1">
        <w:r w:rsidR="000F5941" w:rsidRPr="00621C32">
          <w:rPr>
            <w:rStyle w:val="Hyperlink"/>
          </w:rPr>
          <w:t>dbgeyer@perigeeenergy.com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8" w:history="1">
        <w:r w:rsidR="000F5941" w:rsidRPr="00621C32">
          <w:rPr>
            <w:rStyle w:val="Hyperlink"/>
          </w:rPr>
          <w:t>deborah.merril@hudsonenergy.net</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9" w:history="1">
        <w:r w:rsidR="000F5941" w:rsidRPr="00621C32">
          <w:rPr>
            <w:rStyle w:val="Hyperlink"/>
          </w:rPr>
          <w:t>djverbanac@integrysenergy.com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70" w:history="1">
        <w:r w:rsidR="000F5941" w:rsidRPr="00621C32">
          <w:rPr>
            <w:rStyle w:val="Hyperlink"/>
          </w:rPr>
          <w:t>dklein@amplifiedpg.com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71" w:history="1">
        <w:r w:rsidR="000F5941" w:rsidRPr="00621C32">
          <w:rPr>
            <w:rStyle w:val="Hyperlink"/>
          </w:rPr>
          <w:t>DMarcille@USGandE.com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72" w:history="1">
        <w:r w:rsidR="000F5941" w:rsidRPr="00621C32">
          <w:rPr>
            <w:rStyle w:val="Hyperlink"/>
          </w:rPr>
          <w:t>dpenharlow@noco.com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73" w:history="1">
        <w:r w:rsidR="000F5941" w:rsidRPr="00621C32">
          <w:rPr>
            <w:rStyle w:val="Hyperlink"/>
          </w:rPr>
          <w:t>dpinto@infiniteenergycorp.com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74" w:history="1">
        <w:r w:rsidR="000F5941" w:rsidRPr="00621C32">
          <w:rPr>
            <w:rStyle w:val="Hyperlink"/>
          </w:rPr>
          <w:t>drobbins@sjindustries.com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75" w:history="1">
        <w:r w:rsidR="000F5941" w:rsidRPr="00621C32">
          <w:rPr>
            <w:rStyle w:val="Hyperlink"/>
          </w:rPr>
          <w:t>drosner@countyenergycorp.com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76" w:history="1">
        <w:r w:rsidR="000F5941" w:rsidRPr="00621C32">
          <w:rPr>
            <w:rStyle w:val="Hyperlink"/>
          </w:rPr>
          <w:t>dsinger@robisonoil.com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77" w:history="1">
        <w:r w:rsidR="000F5941" w:rsidRPr="00621C32">
          <w:rPr>
            <w:rStyle w:val="Hyperlink"/>
          </w:rPr>
          <w:t>dtarsa@maincareenergy.com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78" w:history="1">
        <w:r w:rsidR="000F5941" w:rsidRPr="00621C32">
          <w:rPr>
            <w:rStyle w:val="Hyperlink"/>
          </w:rPr>
          <w:t>dwitkowski@villagehamburg.com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79" w:history="1">
        <w:r w:rsidR="000F5941" w:rsidRPr="00621C32">
          <w:rPr>
            <w:rStyle w:val="Hyperlink"/>
          </w:rPr>
          <w:t>eli@dynamicpl.com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80" w:history="1">
        <w:r w:rsidR="000F5941" w:rsidRPr="00621C32">
          <w:rPr>
            <w:rStyle w:val="Hyperlink"/>
          </w:rPr>
          <w:t>esweeney@globalp.com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81" w:history="1">
        <w:r w:rsidR="000F5941" w:rsidRPr="00621C32">
          <w:rPr>
            <w:rStyle w:val="Hyperlink"/>
          </w:rPr>
          <w:t>execs@clearviewelectric.net</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82" w:history="1">
        <w:r w:rsidR="000F5941" w:rsidRPr="00621C32">
          <w:rPr>
            <w:rStyle w:val="Hyperlink"/>
          </w:rPr>
          <w:t>fcenergyinc@gmail.com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83" w:history="1">
        <w:r w:rsidR="000F5941" w:rsidRPr="00621C32">
          <w:rPr>
            <w:rStyle w:val="Hyperlink"/>
          </w:rPr>
          <w:t>fcotter@colonialenergy.com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84" w:history="1">
        <w:r w:rsidR="000F5941" w:rsidRPr="00621C32">
          <w:rPr>
            <w:rStyle w:val="Hyperlink"/>
          </w:rPr>
          <w:t>fdeaguero@mansfieldpowergas.com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85" w:history="1">
        <w:r w:rsidR="000F5941" w:rsidRPr="00621C32">
          <w:rPr>
            <w:rStyle w:val="Hyperlink"/>
          </w:rPr>
          <w:t>flord@hopenergy.com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86" w:history="1">
        <w:r w:rsidR="000F5941" w:rsidRPr="00621C32">
          <w:rPr>
            <w:rStyle w:val="Hyperlink"/>
          </w:rPr>
          <w:t>Franklin.Hecht@ogs.ny.gov</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87" w:history="1">
        <w:r w:rsidR="000F5941" w:rsidRPr="00621C32">
          <w:rPr>
            <w:rStyle w:val="Hyperlink"/>
          </w:rPr>
          <w:t>gary@econopowers.com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88" w:history="1">
        <w:r w:rsidR="000F5941" w:rsidRPr="00621C32">
          <w:rPr>
            <w:rStyle w:val="Hyperlink"/>
          </w:rPr>
          <w:t>gdavid@entraenergy.com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89" w:history="1">
        <w:r w:rsidR="000F5941" w:rsidRPr="00621C32">
          <w:rPr>
            <w:rStyle w:val="Hyperlink"/>
          </w:rPr>
          <w:t>George@greenlightenergy.us</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90" w:history="1">
        <w:r w:rsidR="000F5941" w:rsidRPr="00621C32">
          <w:rPr>
            <w:rStyle w:val="Hyperlink"/>
          </w:rPr>
          <w:t>ghaggarty@yourfamilyenergy.com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91" w:history="1">
        <w:r w:rsidR="000F5941" w:rsidRPr="00621C32">
          <w:rPr>
            <w:rStyle w:val="Hyperlink"/>
          </w:rPr>
          <w:t>ghodges@sparkenergy.com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92" w:history="1">
        <w:r w:rsidR="000F5941" w:rsidRPr="00621C32">
          <w:rPr>
            <w:rStyle w:val="Hyperlink"/>
          </w:rPr>
          <w:t>gina.licul@1energygroup.com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93" w:history="1">
        <w:r w:rsidR="000F5941" w:rsidRPr="00621C32">
          <w:rPr>
            <w:rStyle w:val="Hyperlink"/>
          </w:rPr>
          <w:t>globalenergygroupllc@gmail.com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94" w:history="1">
        <w:r w:rsidR="000F5941" w:rsidRPr="00621C32">
          <w:rPr>
            <w:rStyle w:val="Hyperlink"/>
          </w:rPr>
          <w:t>gmar@energymarkllc.com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95" w:history="1">
        <w:r w:rsidR="000F5941" w:rsidRPr="00621C32">
          <w:rPr>
            <w:rStyle w:val="Hyperlink"/>
          </w:rPr>
          <w:t>harry@northenergy.net</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96" w:history="1">
        <w:r w:rsidR="000F5941" w:rsidRPr="00621C32">
          <w:rPr>
            <w:rStyle w:val="Hyperlink"/>
          </w:rPr>
          <w:t>hendler@etsemerald.com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97" w:history="1">
        <w:r w:rsidR="000F5941" w:rsidRPr="00621C32">
          <w:rPr>
            <w:rStyle w:val="Hyperlink"/>
          </w:rPr>
          <w:t>hklein@hikoenergy.com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98" w:history="1">
        <w:r w:rsidR="000F5941" w:rsidRPr="00621C32">
          <w:rPr>
            <w:rStyle w:val="Hyperlink"/>
          </w:rPr>
          <w:t>iminhas@superiorenergy.ca</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99" w:history="1">
        <w:r w:rsidR="000F5941" w:rsidRPr="00621C32">
          <w:rPr>
            <w:rStyle w:val="Hyperlink"/>
          </w:rPr>
          <w:t>info@atlantisbusinessconsulting.com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00" w:history="1">
        <w:r w:rsidR="000F5941" w:rsidRPr="00621C32">
          <w:rPr>
            <w:rStyle w:val="Hyperlink"/>
          </w:rPr>
          <w:t>info@northeastenergy.com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01" w:history="1">
        <w:r w:rsidR="000F5941" w:rsidRPr="00621C32">
          <w:rPr>
            <w:rStyle w:val="Hyperlink"/>
          </w:rPr>
          <w:t>info@unitedenergysupply.com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02" w:history="1">
        <w:r w:rsidR="000F5941" w:rsidRPr="00621C32">
          <w:rPr>
            <w:rStyle w:val="Hyperlink"/>
          </w:rPr>
          <w:t>jansenee@dteenergy.com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03" w:history="1">
        <w:r w:rsidR="000F5941" w:rsidRPr="00621C32">
          <w:rPr>
            <w:rStyle w:val="Hyperlink"/>
          </w:rPr>
          <w:t>JasonFox@astralenergyllc.com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04" w:history="1">
        <w:r w:rsidR="000F5941" w:rsidRPr="00621C32">
          <w:rPr>
            <w:rStyle w:val="Hyperlink"/>
          </w:rPr>
          <w:t>jay.hellums@frontierutilities.com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05" w:history="1">
        <w:r w:rsidR="000F5941" w:rsidRPr="00621C32">
          <w:rPr>
            <w:rStyle w:val="Hyperlink"/>
          </w:rPr>
          <w:t>jbohm@dualfuelcorp.com</w:t>
        </w:r>
      </w:hyperlink>
    </w:p>
    <w:p w:rsidR="000F5941" w:rsidRPr="0099628B"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06" w:history="1">
        <w:r w:rsidR="000F5941" w:rsidRPr="00621C32">
          <w:rPr>
            <w:rStyle w:val="Hyperlink"/>
          </w:rPr>
          <w:t>jbowen@fcrc.com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07" w:history="1">
        <w:r w:rsidR="000F5941" w:rsidRPr="00621C32">
          <w:rPr>
            <w:rStyle w:val="Hyperlink"/>
          </w:rPr>
          <w:t>jchen@apgellc.com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08" w:history="1">
        <w:r w:rsidR="000F5941" w:rsidRPr="00621C32">
          <w:rPr>
            <w:rStyle w:val="Hyperlink"/>
          </w:rPr>
          <w:t>jclaussen@lumensenergy.com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09" w:history="1">
        <w:r w:rsidR="000F5941" w:rsidRPr="00621C32">
          <w:rPr>
            <w:rStyle w:val="Hyperlink"/>
          </w:rPr>
          <w:t>jdavids@justenergy.com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10" w:history="1">
        <w:r w:rsidR="000F5941" w:rsidRPr="00621C32">
          <w:rPr>
            <w:rStyle w:val="Hyperlink"/>
          </w:rPr>
          <w:t>jdcook@pplweb.com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11" w:history="1">
        <w:r w:rsidR="000F5941" w:rsidRPr="00621C32">
          <w:rPr>
            <w:rStyle w:val="Hyperlink"/>
          </w:rPr>
          <w:t>jdeering@nordicenergy-us.com</w:t>
        </w:r>
      </w:hyperlink>
    </w:p>
    <w:p w:rsidR="000F5941" w:rsidRDefault="0096353B" w:rsidP="003B5F1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112" w:history="1">
        <w:r w:rsidR="000F5941" w:rsidRPr="00621C32">
          <w:rPr>
            <w:rStyle w:val="Hyperlink"/>
          </w:rPr>
          <w:t>jdelvecchio@nfrinc.com</w:t>
        </w:r>
      </w:hyperlink>
    </w:p>
    <w:p w:rsidR="000F5941" w:rsidRPr="0099628B" w:rsidRDefault="009F4EC7"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Pr>
          <w:color w:val="000000"/>
        </w:rPr>
        <w:fldChar w:fldCharType="begin"/>
      </w:r>
      <w:r w:rsidR="000F5941">
        <w:rPr>
          <w:color w:val="000000"/>
        </w:rPr>
        <w:instrText xml:space="preserve"> HYPERLINK "mailto:abe@lightpowerandgas.com" </w:instrText>
      </w:r>
      <w:r>
        <w:rPr>
          <w:color w:val="000000"/>
        </w:rPr>
        <w:fldChar w:fldCharType="separate"/>
      </w:r>
      <w:r w:rsidR="000F5941" w:rsidRPr="0099628B">
        <w:rPr>
          <w:rStyle w:val="Hyperlink"/>
        </w:rPr>
        <w:t>jeff@sbrenergy.com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jeremy@energy.me</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jerry@mecny.com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jfox@criusenergy.com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jgartman@hess.com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jglassman@discountpowerinc.com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jkim@globalenergyllc.net</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jkoppy@bluepilotenergy.com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jloercher@amerigreen.com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jmascaro@newyorkieb.com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joe.mirabito@mirabito.com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Joe@buyenergydirect.org</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john.henderson@gdfsuezna.com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john.nassar@bancmor.com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john@nwaveenergy.com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johncooper212@yahoo.com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joscoenergy@gmail.com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jschultz@hess.com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judithfrnk@yahoo.com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junes@energyyourwayllc.com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katz07666@gmail.com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kb@yepenergy.com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kedelman@clearchoiceenergy.com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kevin.engelman1@gmail.com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kim@genalex.com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kittybromhead@kiwienergy.us</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Lavie@MPowerEnergy.com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lfreeman@stand-energy.com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Lindsay@proenergyusa.com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lopezjj@conedsolutions.com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louis@zaraenergyservices.com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lsmorris@mmenergy.com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mahesh@paylessenergyllc.com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manoj.patel@associatedrenewable.com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marcel@empirenatgas.com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mark.huston@constellation.com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mark.schiro@streamenergy.net</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mary.doswell@dom.com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MATT.MCCOMISKEY@SHELL.COM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mattl@greateasternenergy.com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maureen.bird@ymail.com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mbraswell@southstarenergy.com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mfallquist@criusenergy.com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mgalante@chiefenergy.com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mhassan@emblemenergy.com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michael.messer@linde.com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michael.nguyen@yepenergy.com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michael@greenlightenergy.us</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mike_hachey@transcanada.com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mir1836@gmail.com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mkingerski@manrenergy.com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mkuchera@aepenergy.com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mlordi@gulfoil.com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mmiller@ecmcompany.com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mnromita@castle.us</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mosowski@oasisenergy.com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mproscia@blucoenergy.com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mries@mandrenergy.com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msevdalis@supremeenergyinc.com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msmith@sperianenergy.com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mwiederman@majorenergy.com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mwilliams@totalenergyresources.com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ndurso@castle.us</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newyorklibertyoil@verizon.net</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northeasternenergy@gmail.com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Npowergas@gmail.com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nsilvestri@planetenergy.ca</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patrickjameslinden@gmail.com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Paul.Keene@nrgenergy.com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pgarber9@gmail.com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pmcclave@energysolutionsli.com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pshaw@eaglepowerauthority.com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pvanhorne@bluerockenergy.com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pvd@cactusenergy.com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rcatell@jjtenergy.com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regulatory@peoplespower.com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renaldb@gcspower.com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rgace@optonline.net</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rgaydos@sjfuelco.com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rhamman@igsenergy.com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Richard.Rapp@cci.com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rick@ascenergyservices.com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rkreppel@americanpowerpartners.com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RobertPalmese@ColumbiaUtilities.com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rodgerloughlin@ffcenergy.com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roger@crownenergyny.com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ruzhdi@starionenergy.com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rvpalmese@palmcoenergy.com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sam.henry@gdfsuezna.com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sandy@enableenergysolutions.com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saucierd@dteenergy.com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shari@hiltonny.org</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skelly@sunwavegas.com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sloanny@roadrunner.com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spectrum.ge@gmail.com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ssampson@cemny.com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ssheikh@phoenixenergygroup.com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steve@southbayenergy.com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steve@vogmarketing.com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stuart@1energygroup.com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taff@napower.com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teresa.mitchell@spragueenergy.com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tfitzgerald@verdeenergyusa.com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tmcinerney@suburbanpropane.com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tom@ethicalelectric.com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tomc@americanpowerandgas.com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toms@scaran.com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tony.m@lexpl.com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tori.d.kuykendall@conocophillips.com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trevor@abestpower.com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tulry@xoomenergy.com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tw@highriseenergyllc.com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vicdu@hotmail.com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vparisi@igsenergy.com</w:t>
      </w:r>
    </w:p>
    <w:p w:rsidR="000F5941" w:rsidRPr="0099628B" w:rsidRDefault="000F5941" w:rsidP="003B5F18">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Pr>
      </w:pPr>
      <w:r w:rsidRPr="0099628B">
        <w:rPr>
          <w:rStyle w:val="Hyperlink"/>
        </w:rPr>
        <w:t>wdeter@sjindustries.com</w:t>
      </w:r>
    </w:p>
    <w:p w:rsidR="000F5941" w:rsidRDefault="009F4EC7" w:rsidP="003B5F18">
      <w:pPr>
        <w:rPr>
          <w:color w:val="000000"/>
        </w:rPr>
        <w:sectPr w:rsidR="000F5941" w:rsidSect="00C52086">
          <w:type w:val="continuous"/>
          <w:pgSz w:w="12240" w:h="15840"/>
          <w:pgMar w:top="1080" w:right="1080" w:bottom="1080" w:left="1080" w:header="720" w:footer="720" w:gutter="0"/>
          <w:cols w:num="2" w:space="720"/>
          <w:formProt w:val="0"/>
          <w:noEndnote/>
          <w:titlePg/>
          <w:docGrid w:linePitch="326"/>
        </w:sectPr>
      </w:pPr>
      <w:r>
        <w:rPr>
          <w:color w:val="000000"/>
        </w:rPr>
        <w:fldChar w:fldCharType="end"/>
      </w:r>
    </w:p>
    <w:p w:rsidR="000F5941" w:rsidRDefault="000F5941" w:rsidP="003B5F18"/>
    <w:sectPr w:rsidR="000F5941" w:rsidSect="00FD57A9">
      <w:type w:val="continuous"/>
      <w:pgSz w:w="12240" w:h="15840"/>
      <w:pgMar w:top="1080" w:right="1080" w:bottom="1080" w:left="1080" w:header="720" w:footer="72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FC" w:rsidRDefault="00BD03FC">
      <w:r>
        <w:separator/>
      </w:r>
    </w:p>
  </w:endnote>
  <w:endnote w:type="continuationSeparator" w:id="0">
    <w:p w:rsidR="00BD03FC" w:rsidRDefault="00BD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FC" w:rsidRDefault="00BD03FC">
    <w:pPr>
      <w:pStyle w:val="Footer"/>
    </w:pPr>
    <w:r>
      <w:tab/>
      <w:t>-</w:t>
    </w:r>
    <w:r w:rsidR="009F4EC7">
      <w:rPr>
        <w:rStyle w:val="PageNumber"/>
      </w:rPr>
      <w:fldChar w:fldCharType="begin"/>
    </w:r>
    <w:r>
      <w:rPr>
        <w:rStyle w:val="PageNumber"/>
      </w:rPr>
      <w:instrText xml:space="preserve"> PAGE </w:instrText>
    </w:r>
    <w:r w:rsidR="009F4EC7">
      <w:rPr>
        <w:rStyle w:val="PageNumber"/>
      </w:rPr>
      <w:fldChar w:fldCharType="separate"/>
    </w:r>
    <w:r>
      <w:rPr>
        <w:rStyle w:val="PageNumber"/>
        <w:noProof/>
      </w:rPr>
      <w:t>2</w:t>
    </w:r>
    <w:r w:rsidR="009F4EC7">
      <w:rPr>
        <w:rStyle w:val="PageNumber"/>
      </w:rPr>
      <w:fldChar w:fldCharType="end"/>
    </w:r>
    <w:r>
      <w:rPr>
        <w:rStyle w:val="PageNumber"/>
      </w:rPr>
      <w:t>-</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FC" w:rsidRDefault="00BD03FC">
    <w:pPr>
      <w:pStyle w:val="Footer"/>
    </w:pPr>
    <w:r>
      <w:tab/>
      <w:t>-</w:t>
    </w:r>
    <w:r w:rsidR="009F4EC7">
      <w:rPr>
        <w:rStyle w:val="PageNumber"/>
      </w:rPr>
      <w:fldChar w:fldCharType="begin"/>
    </w:r>
    <w:r>
      <w:rPr>
        <w:rStyle w:val="PageNumber"/>
      </w:rPr>
      <w:instrText xml:space="preserve"> PAGE </w:instrText>
    </w:r>
    <w:r w:rsidR="009F4EC7">
      <w:rPr>
        <w:rStyle w:val="PageNumber"/>
      </w:rPr>
      <w:fldChar w:fldCharType="separate"/>
    </w:r>
    <w:r>
      <w:rPr>
        <w:rStyle w:val="PageNumber"/>
        <w:noProof/>
      </w:rPr>
      <w:t>2</w:t>
    </w:r>
    <w:r w:rsidR="009F4EC7">
      <w:rPr>
        <w:rStyle w:val="PageNumber"/>
      </w:rPr>
      <w:fldChar w:fldCharType="end"/>
    </w:r>
    <w:r>
      <w:rPr>
        <w:rStyle w:val="PageNumber"/>
      </w:rPr>
      <w:t>-</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FC" w:rsidRDefault="00BD03FC">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FC" w:rsidRDefault="00BD03FC">
      <w:r>
        <w:separator/>
      </w:r>
    </w:p>
  </w:footnote>
  <w:footnote w:type="continuationSeparator" w:id="0">
    <w:p w:rsidR="00BD03FC" w:rsidRDefault="00BD03FC">
      <w:r>
        <w:continuationSeparator/>
      </w:r>
    </w:p>
  </w:footnote>
  <w:footnote w:id="1">
    <w:p w:rsidR="00BD03FC" w:rsidRPr="0016557E" w:rsidRDefault="00BD03FC" w:rsidP="00EB56B4">
      <w:pPr>
        <w:autoSpaceDE w:val="0"/>
        <w:autoSpaceDN w:val="0"/>
        <w:adjustRightInd w:val="0"/>
      </w:pPr>
      <w:r w:rsidRPr="008736B1">
        <w:rPr>
          <w:rStyle w:val="FootnoteReference"/>
        </w:rPr>
        <w:footnoteRef/>
      </w:r>
      <w:r w:rsidRPr="008736B1">
        <w:t xml:space="preserve"> RESA</w:t>
      </w:r>
      <w:r>
        <w:t>’</w:t>
      </w:r>
      <w:r w:rsidRPr="008736B1">
        <w:t xml:space="preserve">s members include: AEP Energy, Inc.; Champion Energy Services, LLC; </w:t>
      </w:r>
      <w:proofErr w:type="spellStart"/>
      <w:r w:rsidRPr="008736B1">
        <w:t>ConEdison</w:t>
      </w:r>
      <w:proofErr w:type="spellEnd"/>
      <w:r w:rsidRPr="0016557E">
        <w:t xml:space="preserve"> Solutions,</w:t>
      </w:r>
    </w:p>
    <w:p w:rsidR="00BD03FC" w:rsidRPr="008736B1" w:rsidRDefault="00BD03FC" w:rsidP="00EB56B4">
      <w:pPr>
        <w:autoSpaceDE w:val="0"/>
        <w:autoSpaceDN w:val="0"/>
        <w:adjustRightInd w:val="0"/>
      </w:pPr>
      <w:r w:rsidRPr="008736B1">
        <w:t xml:space="preserve">Constellation </w:t>
      </w:r>
      <w:proofErr w:type="spellStart"/>
      <w:r w:rsidRPr="008736B1">
        <w:t>NewEnergy</w:t>
      </w:r>
      <w:proofErr w:type="spellEnd"/>
      <w:r w:rsidRPr="008736B1">
        <w:t>, Inc.; Direct Energy Services, LLC; GDF SUEZ Energy Resources NA, Inc.;</w:t>
      </w:r>
    </w:p>
    <w:p w:rsidR="00BD03FC" w:rsidRPr="008736B1" w:rsidRDefault="00BD03FC" w:rsidP="00EB56B4">
      <w:pPr>
        <w:autoSpaceDE w:val="0"/>
        <w:autoSpaceDN w:val="0"/>
        <w:adjustRightInd w:val="0"/>
      </w:pPr>
      <w:proofErr w:type="spellStart"/>
      <w:r w:rsidRPr="008736B1">
        <w:t>Homefield</w:t>
      </w:r>
      <w:proofErr w:type="spellEnd"/>
      <w:r w:rsidRPr="008736B1">
        <w:t xml:space="preserve"> Energy; IDT Energy, Inc.; </w:t>
      </w:r>
      <w:proofErr w:type="spellStart"/>
      <w:r w:rsidRPr="008736B1">
        <w:t>Integrys</w:t>
      </w:r>
      <w:proofErr w:type="spellEnd"/>
      <w:r w:rsidRPr="008736B1">
        <w:t xml:space="preserve"> Energy Services, Inc.; Just Energy; Liberty Power; MC</w:t>
      </w:r>
    </w:p>
    <w:p w:rsidR="00BD03FC" w:rsidRPr="008736B1" w:rsidRDefault="00BD03FC" w:rsidP="00EB56B4">
      <w:pPr>
        <w:autoSpaceDE w:val="0"/>
        <w:autoSpaceDN w:val="0"/>
        <w:adjustRightInd w:val="0"/>
      </w:pPr>
      <w:r w:rsidRPr="008736B1">
        <w:t xml:space="preserve">Squared Energy Services, LLC; Mint Energy, LLC; </w:t>
      </w:r>
      <w:proofErr w:type="spellStart"/>
      <w:r w:rsidRPr="008736B1">
        <w:t>NextEra</w:t>
      </w:r>
      <w:proofErr w:type="spellEnd"/>
      <w:r w:rsidRPr="008736B1">
        <w:t xml:space="preserve"> Energy Services; Noble Americas Energy</w:t>
      </w:r>
    </w:p>
    <w:p w:rsidR="00BD03FC" w:rsidRDefault="00BD03FC" w:rsidP="002703B2">
      <w:pPr>
        <w:autoSpaceDE w:val="0"/>
        <w:autoSpaceDN w:val="0"/>
        <w:adjustRightInd w:val="0"/>
        <w:spacing w:after="120"/>
      </w:pPr>
      <w:proofErr w:type="gramStart"/>
      <w:r w:rsidRPr="008736B1">
        <w:t xml:space="preserve">Solutions LLC; NRG Energy, Inc.; PPL </w:t>
      </w:r>
      <w:proofErr w:type="spellStart"/>
      <w:r w:rsidRPr="008736B1">
        <w:t>EnergyPlus</w:t>
      </w:r>
      <w:proofErr w:type="spellEnd"/>
      <w:r w:rsidRPr="008736B1">
        <w:t>, LLC; Stream Energy; TransCanada Power Marketing</w:t>
      </w:r>
      <w:r>
        <w:t xml:space="preserve"> </w:t>
      </w:r>
      <w:r w:rsidRPr="008736B1">
        <w:t xml:space="preserve">Ltd. and </w:t>
      </w:r>
      <w:proofErr w:type="spellStart"/>
      <w:r w:rsidRPr="008736B1">
        <w:t>TriEagle</w:t>
      </w:r>
      <w:proofErr w:type="spellEnd"/>
      <w:r w:rsidRPr="008736B1">
        <w:t xml:space="preserve"> Energy, L.P.</w:t>
      </w:r>
      <w:proofErr w:type="gramEnd"/>
    </w:p>
  </w:footnote>
  <w:footnote w:id="2">
    <w:p w:rsidR="00BD03FC" w:rsidRDefault="00BD03FC" w:rsidP="002703B2">
      <w:pPr>
        <w:pStyle w:val="FootnoteText"/>
        <w:tabs>
          <w:tab w:val="clear" w:pos="432"/>
          <w:tab w:val="left" w:pos="0"/>
        </w:tabs>
        <w:ind w:left="0" w:firstLine="0"/>
      </w:pPr>
      <w:r w:rsidRPr="004533A3">
        <w:rPr>
          <w:rStyle w:val="FootnoteReference"/>
          <w:sz w:val="24"/>
          <w:szCs w:val="24"/>
        </w:rPr>
        <w:footnoteRef/>
      </w:r>
      <w:r w:rsidRPr="004533A3">
        <w:rPr>
          <w:sz w:val="24"/>
          <w:szCs w:val="24"/>
        </w:rPr>
        <w:t xml:space="preserve"> By separate </w:t>
      </w:r>
      <w:r>
        <w:rPr>
          <w:sz w:val="24"/>
          <w:szCs w:val="24"/>
        </w:rPr>
        <w:t>writing</w:t>
      </w:r>
      <w:r w:rsidRPr="004533A3">
        <w:rPr>
          <w:sz w:val="24"/>
          <w:szCs w:val="24"/>
        </w:rPr>
        <w:t xml:space="preserve"> dated March 14, 2014, </w:t>
      </w:r>
      <w:r w:rsidRPr="004533A3">
        <w:rPr>
          <w:color w:val="000000"/>
          <w:sz w:val="24"/>
          <w:szCs w:val="24"/>
        </w:rPr>
        <w:t>Definite Energy Corp</w:t>
      </w:r>
      <w:r>
        <w:rPr>
          <w:color w:val="000000"/>
          <w:sz w:val="24"/>
          <w:szCs w:val="24"/>
        </w:rPr>
        <w:t>oration</w:t>
      </w:r>
      <w:r w:rsidRPr="004533A3">
        <w:rPr>
          <w:color w:val="000000"/>
          <w:sz w:val="24"/>
          <w:szCs w:val="24"/>
        </w:rPr>
        <w:t xml:space="preserve"> expressed its support of RESA’s Statement of Necessity.</w:t>
      </w:r>
    </w:p>
  </w:footnote>
  <w:footnote w:id="3">
    <w:p w:rsidR="00BD03FC" w:rsidRDefault="00BD03FC" w:rsidP="002703B2">
      <w:pPr>
        <w:pStyle w:val="FootnoteText"/>
        <w:tabs>
          <w:tab w:val="clear" w:pos="432"/>
          <w:tab w:val="left" w:pos="0"/>
        </w:tabs>
        <w:ind w:left="0" w:firstLine="0"/>
      </w:pPr>
      <w:r w:rsidRPr="00510322">
        <w:rPr>
          <w:rStyle w:val="FootnoteReference"/>
          <w:sz w:val="24"/>
          <w:szCs w:val="24"/>
        </w:rPr>
        <w:footnoteRef/>
      </w:r>
      <w:r w:rsidRPr="00510322">
        <w:rPr>
          <w:sz w:val="24"/>
          <w:szCs w:val="24"/>
        </w:rPr>
        <w:t xml:space="preserve"> In prior submittals, Niagara Mohawk requested confidential protection for the names of ESC</w:t>
      </w:r>
      <w:r>
        <w:rPr>
          <w:sz w:val="24"/>
          <w:szCs w:val="24"/>
        </w:rPr>
        <w:t>O</w:t>
      </w:r>
      <w:r w:rsidRPr="00510322">
        <w:rPr>
          <w:sz w:val="24"/>
          <w:szCs w:val="24"/>
        </w:rPr>
        <w:t xml:space="preserve">s providing service.  </w:t>
      </w:r>
      <w:r>
        <w:rPr>
          <w:sz w:val="24"/>
          <w:szCs w:val="24"/>
        </w:rPr>
        <w:t>In its Statement of Necessity, it asserts, “</w:t>
      </w:r>
      <w:r w:rsidRPr="00510322">
        <w:rPr>
          <w:sz w:val="24"/>
          <w:szCs w:val="24"/>
        </w:rPr>
        <w:t>However, in light of the ALJs</w:t>
      </w:r>
      <w:r>
        <w:rPr>
          <w:sz w:val="24"/>
          <w:szCs w:val="24"/>
        </w:rPr>
        <w:t xml:space="preserve">’ </w:t>
      </w:r>
      <w:r w:rsidRPr="00510322">
        <w:rPr>
          <w:sz w:val="24"/>
          <w:szCs w:val="24"/>
        </w:rPr>
        <w:t xml:space="preserve">decision in Cases 12-E-0201 and 12-G-0202 and the RAO Letter asserting the companies did not present a </w:t>
      </w:r>
      <w:r w:rsidRPr="00BC7DA0">
        <w:rPr>
          <w:sz w:val="24"/>
          <w:szCs w:val="24"/>
          <w:u w:val="single"/>
        </w:rPr>
        <w:t>prima</w:t>
      </w:r>
      <w:r w:rsidRPr="00510322">
        <w:rPr>
          <w:sz w:val="24"/>
          <w:szCs w:val="24"/>
        </w:rPr>
        <w:t xml:space="preserve"> </w:t>
      </w:r>
      <w:r w:rsidRPr="00BC7DA0">
        <w:rPr>
          <w:sz w:val="24"/>
          <w:szCs w:val="24"/>
          <w:u w:val="single"/>
        </w:rPr>
        <w:t>facie</w:t>
      </w:r>
      <w:r w:rsidRPr="00510322">
        <w:rPr>
          <w:sz w:val="24"/>
          <w:szCs w:val="24"/>
        </w:rPr>
        <w:t xml:space="preserve"> case for blanket protection of the documents, the Company defers to ESCOs copied on the RAO Letter to make any such showing of necessity in connection with potential disclosure of ESCO names.</w:t>
      </w:r>
      <w:r>
        <w:rPr>
          <w:sz w:val="24"/>
          <w:szCs w:val="24"/>
        </w:rPr>
        <w:t>”</w:t>
      </w:r>
    </w:p>
  </w:footnote>
  <w:footnote w:id="4">
    <w:p w:rsidR="00BD03FC" w:rsidRDefault="00BD03FC" w:rsidP="002703B2">
      <w:pPr>
        <w:pStyle w:val="FootnoteText"/>
        <w:tabs>
          <w:tab w:val="clear" w:pos="432"/>
          <w:tab w:val="left" w:pos="0"/>
        </w:tabs>
        <w:ind w:left="0" w:firstLine="0"/>
      </w:pPr>
      <w:r w:rsidRPr="00B7406F">
        <w:rPr>
          <w:rStyle w:val="FootnoteReference"/>
          <w:sz w:val="24"/>
          <w:szCs w:val="24"/>
        </w:rPr>
        <w:footnoteRef/>
      </w:r>
      <w:r w:rsidRPr="00B7406F">
        <w:rPr>
          <w:sz w:val="24"/>
          <w:szCs w:val="24"/>
        </w:rPr>
        <w:t xml:space="preserve"> </w:t>
      </w:r>
      <w:r>
        <w:rPr>
          <w:sz w:val="24"/>
          <w:szCs w:val="24"/>
        </w:rPr>
        <w:t xml:space="preserve">See Matters 12-00172 and 11-01661.  </w:t>
      </w:r>
    </w:p>
  </w:footnote>
  <w:footnote w:id="5">
    <w:p w:rsidR="00BD03FC" w:rsidRDefault="00BD03FC" w:rsidP="002703B2">
      <w:pPr>
        <w:pStyle w:val="FootnoteText"/>
        <w:tabs>
          <w:tab w:val="clear" w:pos="432"/>
          <w:tab w:val="left" w:pos="0"/>
        </w:tabs>
        <w:ind w:left="0" w:firstLine="0"/>
      </w:pPr>
      <w:r w:rsidRPr="0003438A">
        <w:rPr>
          <w:rStyle w:val="FootnoteReference"/>
          <w:sz w:val="24"/>
          <w:szCs w:val="24"/>
        </w:rPr>
        <w:footnoteRef/>
      </w:r>
      <w:r w:rsidRPr="0003438A">
        <w:rPr>
          <w:sz w:val="24"/>
          <w:szCs w:val="24"/>
        </w:rPr>
        <w:t xml:space="preserve"> RESA states that there appears to be some ambiguity concerning the specific data sought under the FOIL request.  </w:t>
      </w:r>
      <w:r>
        <w:rPr>
          <w:sz w:val="24"/>
          <w:szCs w:val="24"/>
        </w:rPr>
        <w:t>Counsel</w:t>
      </w:r>
      <w:r w:rsidRPr="0003438A">
        <w:rPr>
          <w:sz w:val="24"/>
          <w:szCs w:val="24"/>
        </w:rPr>
        <w:t xml:space="preserve"> cites an e-mail dated March 6, 2014 from O&amp;R to the ESCOs on its system in which the data is identified as ESCO billing and enrollment data for certain months.  Enrollment data is not an issue here and will not be ruled on in this Determination.  </w:t>
      </w:r>
    </w:p>
  </w:footnote>
  <w:footnote w:id="6">
    <w:p w:rsidR="00BD03FC" w:rsidRDefault="00BD03FC" w:rsidP="002703B2">
      <w:pPr>
        <w:spacing w:after="120"/>
      </w:pPr>
      <w:r>
        <w:rPr>
          <w:rStyle w:val="FootnoteReference"/>
        </w:rPr>
        <w:footnoteRef/>
      </w:r>
      <w:r>
        <w:t xml:space="preserve"> </w:t>
      </w:r>
      <w:r w:rsidRPr="007C62F2">
        <w:t>C</w:t>
      </w:r>
      <w:r>
        <w:t>ase</w:t>
      </w:r>
      <w:r w:rsidRPr="007C62F2">
        <w:t xml:space="preserve"> 98-M-1343</w:t>
      </w:r>
      <w:r>
        <w:t xml:space="preserve">, </w:t>
      </w:r>
      <w:r w:rsidRPr="007C62F2">
        <w:t>In the Matter of Retail Access Business Rules; Case 07-M-1514</w:t>
      </w:r>
      <w:r>
        <w:t>,</w:t>
      </w:r>
      <w:r w:rsidRPr="007C62F2">
        <w:t xml:space="preserve"> Petition of NYS Consumer Protection Board and NYC Depart</w:t>
      </w:r>
      <w:r>
        <w:t>.</w:t>
      </w:r>
      <w:r w:rsidRPr="007C62F2">
        <w:t xml:space="preserve"> of Consumer Affairs</w:t>
      </w:r>
      <w:r>
        <w:t xml:space="preserve"> </w:t>
      </w:r>
      <w:r w:rsidRPr="007C62F2">
        <w:t>Regarding Marketing Practices of Energy Service Companies</w:t>
      </w:r>
      <w:r>
        <w:t>;</w:t>
      </w:r>
      <w:r w:rsidRPr="007C62F2">
        <w:t xml:space="preserve"> Case 08-G-0078</w:t>
      </w:r>
      <w:r>
        <w:t>,</w:t>
      </w:r>
      <w:r w:rsidRPr="007C62F2">
        <w:t xml:space="preserve"> Ordinary Tariff Filing</w:t>
      </w:r>
      <w:r>
        <w:t xml:space="preserve"> </w:t>
      </w:r>
      <w:r w:rsidRPr="007C62F2">
        <w:t xml:space="preserve">of National Fuel Gas Distribution Corporation to Establish </w:t>
      </w:r>
      <w:r>
        <w:t>a</w:t>
      </w:r>
      <w:r w:rsidRPr="007C62F2">
        <w:t xml:space="preserve"> Set </w:t>
      </w:r>
      <w:r>
        <w:t>o</w:t>
      </w:r>
      <w:r w:rsidRPr="007C62F2">
        <w:t xml:space="preserve">f Commercially Reasonable Standards </w:t>
      </w:r>
      <w:r>
        <w:t>f</w:t>
      </w:r>
      <w:r w:rsidRPr="007C62F2">
        <w:t>or</w:t>
      </w:r>
      <w:r>
        <w:t xml:space="preserve"> </w:t>
      </w:r>
      <w:r w:rsidRPr="007C62F2">
        <w:t xml:space="preserve">Door-To-Door Sales </w:t>
      </w:r>
      <w:r>
        <w:t>o</w:t>
      </w:r>
      <w:r w:rsidRPr="007C62F2">
        <w:t xml:space="preserve">f Natural Gas </w:t>
      </w:r>
      <w:r>
        <w:t>b</w:t>
      </w:r>
      <w:r w:rsidRPr="007C62F2">
        <w:t xml:space="preserve">y ESCOs. </w:t>
      </w:r>
      <w:r w:rsidRPr="008E70D8">
        <w:rPr>
          <w:u w:val="single"/>
        </w:rPr>
        <w:t>Order Adopting Amendments To The Uniform Business Practices, Granting In Part Petition On Behalf Of Customers And Rejecting National Fuel Gas Distribution Corporation's Tariff Filing</w:t>
      </w:r>
      <w:r w:rsidRPr="007C62F2">
        <w:t xml:space="preserve"> (issued October 27,</w:t>
      </w:r>
      <w:r>
        <w:t xml:space="preserve"> </w:t>
      </w:r>
      <w:r w:rsidRPr="007C62F2">
        <w:t>2008) (UBP Order)</w:t>
      </w:r>
      <w:r>
        <w:t>.</w:t>
      </w:r>
    </w:p>
  </w:footnote>
  <w:footnote w:id="7">
    <w:p w:rsidR="00BD03FC" w:rsidRDefault="00BD03FC" w:rsidP="002703B2">
      <w:pPr>
        <w:spacing w:after="120"/>
      </w:pPr>
      <w:r>
        <w:rPr>
          <w:rStyle w:val="FootnoteReference"/>
        </w:rPr>
        <w:footnoteRef/>
      </w:r>
      <w:r>
        <w:t xml:space="preserve"> </w:t>
      </w:r>
      <w:r w:rsidRPr="007C62F2">
        <w:t>Case 12-M-0476</w:t>
      </w:r>
      <w:r>
        <w:t>,</w:t>
      </w:r>
      <w:r w:rsidRPr="007C62F2">
        <w:t xml:space="preserve"> Proceeding on Motion of the Commission to Assess Certain Aspects of the Residential</w:t>
      </w:r>
      <w:r>
        <w:t xml:space="preserve"> </w:t>
      </w:r>
      <w:r w:rsidRPr="007C62F2">
        <w:t>and Small Non-residential Retail Energy Markets in N</w:t>
      </w:r>
      <w:r>
        <w:t>YS;</w:t>
      </w:r>
      <w:r w:rsidRPr="007C62F2">
        <w:t xml:space="preserve"> Case 98-M-1343</w:t>
      </w:r>
      <w:r>
        <w:t>;</w:t>
      </w:r>
      <w:r w:rsidRPr="007C62F2">
        <w:t xml:space="preserve"> </w:t>
      </w:r>
      <w:r>
        <w:t>Case 06-M-0647, I</w:t>
      </w:r>
      <w:r w:rsidRPr="007C62F2">
        <w:t>n the Matter of Energy Service Company Price</w:t>
      </w:r>
      <w:r>
        <w:t xml:space="preserve"> </w:t>
      </w:r>
      <w:r w:rsidRPr="007C62F2">
        <w:t>Reporting Requirements</w:t>
      </w:r>
      <w:r>
        <w:t>;</w:t>
      </w:r>
      <w:r w:rsidRPr="007C62F2">
        <w:t xml:space="preserve"> Case 98-M-0667</w:t>
      </w:r>
      <w:r>
        <w:t>,</w:t>
      </w:r>
      <w:r w:rsidRPr="007C62F2">
        <w:t xml:space="preserve"> In the Matter of Electronic Data Interchange</w:t>
      </w:r>
      <w:r>
        <w:t>.</w:t>
      </w:r>
      <w:r w:rsidRPr="007C62F2">
        <w:t xml:space="preserve"> </w:t>
      </w:r>
      <w:r w:rsidRPr="00903C27">
        <w:rPr>
          <w:u w:val="single"/>
        </w:rPr>
        <w:t>Order Taking Actions to Improve the Residential and Small Nonresidential Retail Access Markets</w:t>
      </w:r>
      <w:r w:rsidRPr="007C62F2">
        <w:t xml:space="preserve">, </w:t>
      </w:r>
      <w:r>
        <w:t>(</w:t>
      </w:r>
      <w:r w:rsidRPr="007C62F2">
        <w:t>issued February 25,</w:t>
      </w:r>
      <w:r>
        <w:t xml:space="preserve"> </w:t>
      </w:r>
      <w:r w:rsidRPr="007C62F2">
        <w:t>2014</w:t>
      </w:r>
      <w:r>
        <w:t>)</w:t>
      </w:r>
      <w:r w:rsidRPr="007C62F2">
        <w:t xml:space="preserve"> (Retail Markets Order)</w:t>
      </w:r>
      <w:r>
        <w:t>.</w:t>
      </w:r>
    </w:p>
  </w:footnote>
  <w:footnote w:id="8">
    <w:p w:rsidR="00BD03FC" w:rsidRDefault="00BD03FC" w:rsidP="002703B2">
      <w:pPr>
        <w:spacing w:after="120"/>
      </w:pPr>
      <w:r>
        <w:rPr>
          <w:rStyle w:val="FootnoteReference"/>
        </w:rPr>
        <w:footnoteRef/>
      </w:r>
      <w:r>
        <w:t xml:space="preserve"> </w:t>
      </w:r>
      <w:proofErr w:type="gramStart"/>
      <w:r>
        <w:t xml:space="preserve">Case 94-E-0952, </w:t>
      </w:r>
      <w:r w:rsidRPr="00903C27">
        <w:t>Competitive Opportunities Regarding Electric Service.</w:t>
      </w:r>
      <w:proofErr w:type="gramEnd"/>
      <w:r w:rsidRPr="00903C27">
        <w:t xml:space="preserve"> </w:t>
      </w:r>
      <w:r>
        <w:t xml:space="preserve"> Request for ESCO Gas Flow-Thru Data Reports for November and December 2005, </w:t>
      </w:r>
      <w:r w:rsidRPr="003D6B4C">
        <w:rPr>
          <w:u w:val="single"/>
        </w:rPr>
        <w:t>Appeal of Trade Secret Determination 06-01</w:t>
      </w:r>
      <w:r w:rsidRPr="007C62F2">
        <w:t xml:space="preserve"> </w:t>
      </w:r>
      <w:r>
        <w:t>(issued</w:t>
      </w:r>
      <w:r w:rsidRPr="007C62F2">
        <w:t xml:space="preserve"> October 20,</w:t>
      </w:r>
      <w:r>
        <w:t xml:space="preserve"> </w:t>
      </w:r>
      <w:r w:rsidRPr="007C62F2">
        <w:t>2006</w:t>
      </w:r>
      <w:r>
        <w:t>)</w:t>
      </w:r>
      <w:r w:rsidRPr="007C62F2">
        <w:t xml:space="preserve"> (2006 FOIL</w:t>
      </w:r>
      <w:r>
        <w:t xml:space="preserve"> Ruling)</w:t>
      </w:r>
      <w:r w:rsidRPr="007C62F2">
        <w:t>.</w:t>
      </w:r>
    </w:p>
  </w:footnote>
  <w:footnote w:id="9">
    <w:p w:rsidR="00BD03FC" w:rsidRDefault="00BD03FC" w:rsidP="002703B2">
      <w:pPr>
        <w:spacing w:after="120"/>
      </w:pPr>
      <w:r>
        <w:rPr>
          <w:rStyle w:val="FootnoteReference"/>
        </w:rPr>
        <w:footnoteRef/>
      </w:r>
      <w:r>
        <w:t xml:space="preserve"> </w:t>
      </w:r>
      <w:proofErr w:type="gramStart"/>
      <w:r w:rsidRPr="00903C27">
        <w:t>Case 98-M-1343</w:t>
      </w:r>
      <w:r>
        <w:t xml:space="preserve">, </w:t>
      </w:r>
      <w:r w:rsidRPr="00A66B37">
        <w:t xml:space="preserve">Request for ESCO </w:t>
      </w:r>
      <w:r>
        <w:t>Customer Data.</w:t>
      </w:r>
      <w:proofErr w:type="gramEnd"/>
      <w:r>
        <w:t xml:space="preserve"> </w:t>
      </w:r>
      <w:r w:rsidRPr="00B245DD">
        <w:rPr>
          <w:u w:val="single"/>
        </w:rPr>
        <w:t>Trade Secret Determination 09-1</w:t>
      </w:r>
      <w:r>
        <w:t xml:space="preserve"> </w:t>
      </w:r>
      <w:r w:rsidRPr="00903C27">
        <w:t>(issued May 11, 2009) (2009 FOIL</w:t>
      </w:r>
      <w:r>
        <w:t xml:space="preserve"> Ruling); </w:t>
      </w:r>
      <w:r w:rsidRPr="00A66B37">
        <w:t>Cases 93-G-0932 and 94-E-0952, Request for 2009 Breakdown of Revenue and Number of Residential Customers for Gas &amp; Electric per ESCO per Utility Company</w:t>
      </w:r>
      <w:r>
        <w:t>,</w:t>
      </w:r>
      <w:r w:rsidRPr="00A66B37">
        <w:t xml:space="preserve"> </w:t>
      </w:r>
      <w:r w:rsidRPr="00B245DD">
        <w:rPr>
          <w:u w:val="single"/>
        </w:rPr>
        <w:t>Trade Secret Determination</w:t>
      </w:r>
      <w:r>
        <w:rPr>
          <w:u w:val="single"/>
        </w:rPr>
        <w:t xml:space="preserve"> </w:t>
      </w:r>
      <w:r w:rsidRPr="00B245DD">
        <w:rPr>
          <w:u w:val="single"/>
        </w:rPr>
        <w:t>10-2</w:t>
      </w:r>
      <w:r w:rsidRPr="00A66B37">
        <w:t xml:space="preserve"> (issued March 16, 2010)</w:t>
      </w:r>
      <w:r>
        <w:t>.</w:t>
      </w:r>
    </w:p>
  </w:footnote>
  <w:footnote w:id="10">
    <w:p w:rsidR="00BD03FC" w:rsidRDefault="00BD03FC" w:rsidP="002703B2">
      <w:pPr>
        <w:spacing w:after="120"/>
      </w:pPr>
      <w:r>
        <w:rPr>
          <w:rStyle w:val="FootnoteReference"/>
        </w:rPr>
        <w:footnoteRef/>
      </w:r>
      <w:r>
        <w:t xml:space="preserve"> </w:t>
      </w:r>
      <w:proofErr w:type="gramStart"/>
      <w:r w:rsidRPr="007C62F2">
        <w:t xml:space="preserve">UBP Order, </w:t>
      </w:r>
      <w:r w:rsidR="00A44C07">
        <w:t>at</w:t>
      </w:r>
      <w:r w:rsidRPr="007C62F2">
        <w:t xml:space="preserve"> 26.</w:t>
      </w:r>
      <w:proofErr w:type="gramEnd"/>
      <w:r>
        <w:t xml:space="preserve">  </w:t>
      </w:r>
    </w:p>
  </w:footnote>
  <w:footnote w:id="11">
    <w:p w:rsidR="00BD03FC" w:rsidRDefault="00BD03FC" w:rsidP="002703B2">
      <w:pPr>
        <w:spacing w:after="120"/>
      </w:pPr>
      <w:r w:rsidRPr="00522A83">
        <w:rPr>
          <w:rStyle w:val="FootnoteReference"/>
        </w:rPr>
        <w:footnoteRef/>
      </w:r>
      <w:r w:rsidRPr="00522A83">
        <w:t xml:space="preserve"> See, also, </w:t>
      </w:r>
      <w:r>
        <w:t xml:space="preserve">Case 94-E-0952, </w:t>
      </w:r>
      <w:r w:rsidRPr="00B245DD">
        <w:rPr>
          <w:u w:val="single"/>
        </w:rPr>
        <w:t>Trade Secret Determination 08-1</w:t>
      </w:r>
      <w:r w:rsidRPr="00522A83">
        <w:t xml:space="preserve"> (</w:t>
      </w:r>
      <w:r>
        <w:t xml:space="preserve">issued </w:t>
      </w:r>
      <w:r w:rsidRPr="00522A83">
        <w:t xml:space="preserve">May 19, 2008), </w:t>
      </w:r>
      <w:r w:rsidR="00A44C07">
        <w:t>at</w:t>
      </w:r>
      <w:r w:rsidRPr="00522A83">
        <w:t xml:space="preserve"> 5.</w:t>
      </w:r>
    </w:p>
  </w:footnote>
  <w:footnote w:id="12">
    <w:p w:rsidR="00BD03FC" w:rsidRPr="00B245DD" w:rsidRDefault="00BD03FC" w:rsidP="007B7BAB">
      <w:r>
        <w:rPr>
          <w:rStyle w:val="FootnoteReference"/>
        </w:rPr>
        <w:footnoteRef/>
      </w:r>
      <w:r>
        <w:t xml:space="preserve"> Case 98-M-1343, Request for </w:t>
      </w:r>
      <w:r w:rsidRPr="00B245DD">
        <w:t xml:space="preserve">ESCO Sales Agreements – Variable Energy Price Contracts </w:t>
      </w:r>
      <w:r>
        <w:t>–</w:t>
      </w:r>
      <w:r w:rsidRPr="00B245DD">
        <w:t xml:space="preserve"> Hess</w:t>
      </w:r>
      <w:r>
        <w:t xml:space="preserve">, </w:t>
      </w:r>
    </w:p>
    <w:p w:rsidR="00BD03FC" w:rsidRDefault="00BD03FC" w:rsidP="002703B2">
      <w:pPr>
        <w:spacing w:after="120"/>
      </w:pPr>
      <w:proofErr w:type="gramStart"/>
      <w:r w:rsidRPr="00B245DD">
        <w:rPr>
          <w:u w:val="single"/>
        </w:rPr>
        <w:t>Trade Secret Determination 10-4</w:t>
      </w:r>
      <w:r w:rsidRPr="007C62F2">
        <w:t xml:space="preserve">, </w:t>
      </w:r>
      <w:r>
        <w:t xml:space="preserve">(issued December 24, 2010) </w:t>
      </w:r>
      <w:r w:rsidR="00A44C07">
        <w:t>at</w:t>
      </w:r>
      <w:r w:rsidRPr="007C62F2">
        <w:t>.</w:t>
      </w:r>
      <w:proofErr w:type="gramEnd"/>
      <w:r w:rsidRPr="007C62F2">
        <w:t xml:space="preserve"> 13.</w:t>
      </w:r>
    </w:p>
  </w:footnote>
  <w:footnote w:id="13">
    <w:p w:rsidR="00BD03FC" w:rsidRDefault="00BD03FC" w:rsidP="002703B2">
      <w:pPr>
        <w:spacing w:after="120"/>
      </w:pPr>
      <w:r>
        <w:rPr>
          <w:rStyle w:val="FootnoteReference"/>
        </w:rPr>
        <w:footnoteRef/>
      </w:r>
      <w:r>
        <w:t xml:space="preserve"> Case 94-E-0952, 2006 </w:t>
      </w:r>
      <w:r>
        <w:rPr>
          <w:u w:val="single"/>
        </w:rPr>
        <w:t>FOIL Ruling</w:t>
      </w:r>
      <w:r>
        <w:t xml:space="preserve">, </w:t>
      </w:r>
      <w:r w:rsidR="00A44C07">
        <w:t>at</w:t>
      </w:r>
      <w:r w:rsidRPr="007C62F2">
        <w:t xml:space="preserve"> 5.</w:t>
      </w:r>
    </w:p>
  </w:footnote>
  <w:footnote w:id="14">
    <w:p w:rsidR="00BD03FC" w:rsidRDefault="00BD03FC" w:rsidP="002703B2">
      <w:pPr>
        <w:spacing w:after="120"/>
      </w:pPr>
      <w:r>
        <w:rPr>
          <w:rStyle w:val="FootnoteReference"/>
        </w:rPr>
        <w:footnoteRef/>
      </w:r>
      <w:r>
        <w:t xml:space="preserve"> </w:t>
      </w:r>
      <w:r w:rsidRPr="007C62F2">
        <w:t xml:space="preserve">Retail Markets Order, </w:t>
      </w:r>
      <w:r w:rsidR="00A44C07">
        <w:t>at</w:t>
      </w:r>
      <w:r w:rsidRPr="007C62F2">
        <w:t xml:space="preserve"> 16-17</w:t>
      </w:r>
      <w:r>
        <w:t>.</w:t>
      </w:r>
    </w:p>
  </w:footnote>
  <w:footnote w:id="15">
    <w:p w:rsidR="00BD03FC" w:rsidRDefault="00BD03FC" w:rsidP="00B32C50">
      <w:r>
        <w:rPr>
          <w:rStyle w:val="FootnoteReference"/>
        </w:rPr>
        <w:footnoteRef/>
      </w:r>
      <w:r>
        <w:t xml:space="preserve"> </w:t>
      </w:r>
      <w:proofErr w:type="gramStart"/>
      <w:r>
        <w:t xml:space="preserve">Case 98-M-1343, </w:t>
      </w:r>
      <w:r w:rsidRPr="00B245DD">
        <w:rPr>
          <w:u w:val="single"/>
        </w:rPr>
        <w:t>Trade Secret Determination 10-4</w:t>
      </w:r>
      <w:r w:rsidRPr="007C62F2">
        <w:t xml:space="preserve">, </w:t>
      </w:r>
      <w:r w:rsidR="00A44C07">
        <w:t>at</w:t>
      </w:r>
      <w:r w:rsidRPr="007C62F2">
        <w:t xml:space="preserve"> 13.</w:t>
      </w:r>
      <w:proofErr w:type="gramEnd"/>
    </w:p>
  </w:footnote>
  <w:footnote w:id="16">
    <w:p w:rsidR="00BD03FC" w:rsidRDefault="00BD03FC" w:rsidP="002703B2">
      <w:pPr>
        <w:pStyle w:val="FootnoteText"/>
        <w:tabs>
          <w:tab w:val="left" w:pos="360"/>
        </w:tabs>
      </w:pPr>
      <w:r w:rsidRPr="00764C2A">
        <w:rPr>
          <w:rStyle w:val="FootnoteReference"/>
          <w:sz w:val="24"/>
          <w:szCs w:val="24"/>
        </w:rPr>
        <w:footnoteRef/>
      </w:r>
      <w:r w:rsidRPr="00764C2A">
        <w:rPr>
          <w:sz w:val="24"/>
          <w:szCs w:val="24"/>
        </w:rPr>
        <w:t xml:space="preserve">  </w:t>
      </w:r>
      <w:proofErr w:type="gramStart"/>
      <w:r w:rsidRPr="00764C2A">
        <w:rPr>
          <w:sz w:val="24"/>
          <w:szCs w:val="24"/>
        </w:rPr>
        <w:t>56 N.Y.2d 213, 219 – 220 (1982).</w:t>
      </w:r>
      <w:proofErr w:type="gramEnd"/>
    </w:p>
  </w:footnote>
  <w:footnote w:id="17">
    <w:p w:rsidR="00BD03FC" w:rsidRDefault="00BD03FC" w:rsidP="002703B2">
      <w:pPr>
        <w:pStyle w:val="NormalWeb"/>
        <w:shd w:val="clear" w:color="auto" w:fill="FFFFFF"/>
        <w:tabs>
          <w:tab w:val="left" w:pos="-810"/>
        </w:tabs>
        <w:spacing w:before="0" w:beforeAutospacing="0" w:after="120" w:afterAutospacing="0"/>
        <w:ind w:left="270" w:hanging="270"/>
      </w:pPr>
      <w:r w:rsidRPr="00764C2A">
        <w:rPr>
          <w:rStyle w:val="FootnoteReference"/>
          <w:rFonts w:ascii="Times New Roman" w:hAnsi="Times New Roman" w:cs="Times New Roman"/>
        </w:rPr>
        <w:footnoteRef/>
      </w:r>
      <w:r w:rsidRPr="00764C2A">
        <w:rPr>
          <w:rFonts w:ascii="Times New Roman" w:hAnsi="Times New Roman" w:cs="Times New Roman"/>
        </w:rPr>
        <w:t xml:space="preserve">  </w:t>
      </w:r>
      <w:r w:rsidRPr="00764C2A">
        <w:rPr>
          <w:rFonts w:ascii="Times New Roman" w:hAnsi="Times New Roman" w:cs="Times New Roman"/>
          <w:color w:val="000000"/>
          <w:u w:val="single"/>
        </w:rPr>
        <w:t xml:space="preserve">Kewanee Oil Co. v. </w:t>
      </w:r>
      <w:proofErr w:type="spellStart"/>
      <w:r w:rsidRPr="00764C2A">
        <w:rPr>
          <w:rFonts w:ascii="Times New Roman" w:hAnsi="Times New Roman" w:cs="Times New Roman"/>
          <w:color w:val="000000"/>
          <w:u w:val="single"/>
        </w:rPr>
        <w:t>Bicron</w:t>
      </w:r>
      <w:proofErr w:type="spellEnd"/>
      <w:r w:rsidRPr="00764C2A">
        <w:rPr>
          <w:rFonts w:ascii="Times New Roman" w:hAnsi="Times New Roman" w:cs="Times New Roman"/>
          <w:color w:val="000000"/>
          <w:u w:val="single"/>
        </w:rPr>
        <w:t xml:space="preserve"> Corp</w:t>
      </w:r>
      <w:r w:rsidRPr="00764C2A">
        <w:rPr>
          <w:rFonts w:ascii="Times New Roman" w:hAnsi="Times New Roman" w:cs="Times New Roman"/>
          <w:color w:val="000000"/>
        </w:rPr>
        <w:t xml:space="preserve">., 416 U.S. 470 (1973) in which the Court discussed what might constitute a “trade secret”, citing Restatement of Torts, §757, comment b (1939).  </w:t>
      </w:r>
    </w:p>
  </w:footnote>
  <w:footnote w:id="18">
    <w:p w:rsidR="00BD03FC" w:rsidRPr="002703B2" w:rsidRDefault="00BD03FC">
      <w:pPr>
        <w:pStyle w:val="FootnoteText"/>
        <w:rPr>
          <w:sz w:val="24"/>
          <w:szCs w:val="24"/>
        </w:rPr>
      </w:pPr>
      <w:r w:rsidRPr="002703B2">
        <w:rPr>
          <w:rStyle w:val="FootnoteReference"/>
          <w:sz w:val="24"/>
          <w:szCs w:val="24"/>
        </w:rPr>
        <w:footnoteRef/>
      </w:r>
      <w:r w:rsidRPr="002703B2">
        <w:rPr>
          <w:sz w:val="24"/>
          <w:szCs w:val="24"/>
        </w:rPr>
        <w:t xml:space="preserve"> </w:t>
      </w:r>
      <w:proofErr w:type="gramStart"/>
      <w:r w:rsidRPr="002703B2">
        <w:rPr>
          <w:sz w:val="24"/>
          <w:szCs w:val="24"/>
        </w:rPr>
        <w:t>16 NYCRR §6-1.3(a).</w:t>
      </w:r>
      <w:proofErr w:type="gramEnd"/>
    </w:p>
  </w:footnote>
  <w:footnote w:id="19">
    <w:p w:rsidR="00BD03FC" w:rsidRDefault="00BD03FC" w:rsidP="002703B2">
      <w:pPr>
        <w:pStyle w:val="FootnoteText"/>
        <w:tabs>
          <w:tab w:val="left" w:pos="360"/>
        </w:tabs>
      </w:pPr>
      <w:r w:rsidRPr="00764C2A">
        <w:rPr>
          <w:rStyle w:val="FootnoteReference"/>
          <w:sz w:val="24"/>
          <w:szCs w:val="24"/>
        </w:rPr>
        <w:footnoteRef/>
      </w:r>
      <w:r>
        <w:rPr>
          <w:sz w:val="24"/>
          <w:szCs w:val="24"/>
        </w:rPr>
        <w:t xml:space="preserve">  </w:t>
      </w:r>
      <w:proofErr w:type="gramStart"/>
      <w:r w:rsidRPr="00764C2A">
        <w:rPr>
          <w:sz w:val="24"/>
          <w:szCs w:val="24"/>
        </w:rPr>
        <w:t>87 N.Y.2d 410 (1995).</w:t>
      </w:r>
      <w:proofErr w:type="gramEnd"/>
    </w:p>
  </w:footnote>
  <w:footnote w:id="20">
    <w:p w:rsidR="00BD03FC" w:rsidRDefault="00BD03FC" w:rsidP="002703B2">
      <w:pPr>
        <w:pStyle w:val="FootnoteText"/>
        <w:tabs>
          <w:tab w:val="left" w:pos="360"/>
        </w:tabs>
      </w:pPr>
      <w:r w:rsidRPr="00764C2A">
        <w:rPr>
          <w:rStyle w:val="FootnoteReference"/>
          <w:sz w:val="24"/>
          <w:szCs w:val="24"/>
        </w:rPr>
        <w:footnoteRef/>
      </w:r>
      <w:r w:rsidRPr="00764C2A">
        <w:rPr>
          <w:sz w:val="24"/>
          <w:szCs w:val="24"/>
        </w:rPr>
        <w:t xml:space="preserve"> </w:t>
      </w:r>
      <w:r>
        <w:rPr>
          <w:sz w:val="24"/>
          <w:szCs w:val="24"/>
        </w:rPr>
        <w:t xml:space="preserve"> </w:t>
      </w:r>
      <w:proofErr w:type="gramStart"/>
      <w:r w:rsidRPr="00764C2A">
        <w:rPr>
          <w:sz w:val="24"/>
          <w:szCs w:val="24"/>
        </w:rPr>
        <w:t>498 F.2d 765, 770 (D.C. Cir., 1974).</w:t>
      </w:r>
      <w:proofErr w:type="gramEnd"/>
    </w:p>
  </w:footnote>
  <w:footnote w:id="21">
    <w:p w:rsidR="00BD03FC" w:rsidRDefault="00BD03FC" w:rsidP="002703B2">
      <w:pPr>
        <w:pStyle w:val="FootnoteText"/>
        <w:tabs>
          <w:tab w:val="left" w:pos="360"/>
        </w:tabs>
        <w:ind w:left="360" w:hanging="360"/>
      </w:pPr>
      <w:r w:rsidRPr="00D97074">
        <w:rPr>
          <w:rStyle w:val="FootnoteReference"/>
          <w:sz w:val="24"/>
          <w:szCs w:val="24"/>
        </w:rPr>
        <w:footnoteRef/>
      </w:r>
      <w:r>
        <w:rPr>
          <w:sz w:val="24"/>
          <w:szCs w:val="24"/>
        </w:rPr>
        <w:t xml:space="preserve">  </w:t>
      </w:r>
      <w:r w:rsidRPr="002703B2">
        <w:rPr>
          <w:sz w:val="24"/>
          <w:szCs w:val="24"/>
          <w:u w:val="single"/>
        </w:rPr>
        <w:t>Encore</w:t>
      </w:r>
      <w:r>
        <w:rPr>
          <w:sz w:val="24"/>
          <w:szCs w:val="24"/>
        </w:rPr>
        <w:t xml:space="preserve"> at 419-420. </w:t>
      </w:r>
    </w:p>
  </w:footnote>
  <w:footnote w:id="22">
    <w:p w:rsidR="00BD03FC" w:rsidRDefault="00BD03FC" w:rsidP="00BD03FC">
      <w:pPr>
        <w:pStyle w:val="FootnoteText"/>
      </w:pPr>
      <w:r w:rsidRPr="00D97074">
        <w:rPr>
          <w:rStyle w:val="FootnoteReference"/>
          <w:sz w:val="24"/>
          <w:szCs w:val="24"/>
        </w:rPr>
        <w:footnoteRef/>
      </w:r>
      <w:r w:rsidRPr="00D97074">
        <w:rPr>
          <w:sz w:val="24"/>
          <w:szCs w:val="24"/>
        </w:rPr>
        <w:t xml:space="preserve"> </w:t>
      </w:r>
      <w:r w:rsidRPr="00D97074">
        <w:rPr>
          <w:color w:val="000000"/>
          <w:sz w:val="24"/>
          <w:szCs w:val="24"/>
        </w:rPr>
        <w:t xml:space="preserve"> </w:t>
      </w:r>
      <w:proofErr w:type="gramStart"/>
      <w:r w:rsidRPr="00D97074">
        <w:rPr>
          <w:color w:val="000000"/>
          <w:sz w:val="24"/>
          <w:szCs w:val="24"/>
        </w:rPr>
        <w:t>11 N.Y.3d 43</w:t>
      </w:r>
      <w:r w:rsidR="00A44C07">
        <w:rPr>
          <w:color w:val="000000"/>
          <w:sz w:val="24"/>
          <w:szCs w:val="24"/>
        </w:rPr>
        <w:t xml:space="preserve"> </w:t>
      </w:r>
      <w:r w:rsidRPr="00D97074">
        <w:rPr>
          <w:color w:val="000000"/>
          <w:sz w:val="24"/>
          <w:szCs w:val="24"/>
        </w:rPr>
        <w:t>(2008).</w:t>
      </w:r>
      <w:proofErr w:type="gramEnd"/>
    </w:p>
  </w:footnote>
  <w:footnote w:id="23">
    <w:p w:rsidR="00BD03FC" w:rsidRDefault="00BD03FC" w:rsidP="00F70885">
      <w:pPr>
        <w:autoSpaceDE w:val="0"/>
        <w:autoSpaceDN w:val="0"/>
        <w:adjustRightInd w:val="0"/>
      </w:pPr>
      <w:r w:rsidRPr="00D97074">
        <w:rPr>
          <w:rStyle w:val="FootnoteReference"/>
        </w:rPr>
        <w:footnoteRef/>
      </w:r>
      <w:r w:rsidRPr="00D97074">
        <w:t xml:space="preserve"> </w:t>
      </w:r>
      <w:r>
        <w:t xml:space="preserve"> </w:t>
      </w:r>
      <w:proofErr w:type="gramStart"/>
      <w:r w:rsidRPr="0052225A">
        <w:rPr>
          <w:color w:val="000000"/>
          <w:u w:val="single"/>
        </w:rPr>
        <w:t>Markowitz</w:t>
      </w:r>
      <w:r w:rsidRPr="00D97074">
        <w:rPr>
          <w:color w:val="000000"/>
        </w:rPr>
        <w:t xml:space="preserve">, </w:t>
      </w:r>
      <w:r w:rsidRPr="0052225A">
        <w:rPr>
          <w:color w:val="000000"/>
          <w:u w:val="single"/>
        </w:rPr>
        <w:t>supra</w:t>
      </w:r>
      <w:r w:rsidRPr="00D97074">
        <w:rPr>
          <w:color w:val="000000"/>
        </w:rPr>
        <w:t xml:space="preserve"> at 51; </w:t>
      </w:r>
      <w:r w:rsidRPr="0052225A">
        <w:rPr>
          <w:color w:val="000000"/>
          <w:u w:val="single"/>
        </w:rPr>
        <w:t>Encore,</w:t>
      </w:r>
      <w:r w:rsidRPr="00D97074">
        <w:rPr>
          <w:color w:val="000000"/>
        </w:rPr>
        <w:t xml:space="preserve"> </w:t>
      </w:r>
      <w:r w:rsidRPr="0052225A">
        <w:rPr>
          <w:color w:val="000000"/>
          <w:u w:val="single"/>
        </w:rPr>
        <w:t>supra</w:t>
      </w:r>
      <w:r w:rsidRPr="00D97074">
        <w:rPr>
          <w:color w:val="000000"/>
        </w:rPr>
        <w:t>.</w:t>
      </w:r>
      <w:proofErr w:type="gramEnd"/>
    </w:p>
  </w:footnote>
  <w:footnote w:id="24">
    <w:p w:rsidR="00BD03FC" w:rsidRDefault="00BD03FC" w:rsidP="00BD03FC">
      <w:pPr>
        <w:pStyle w:val="FootnoteText"/>
        <w:tabs>
          <w:tab w:val="clear" w:pos="432"/>
        </w:tabs>
        <w:ind w:left="0" w:firstLine="0"/>
      </w:pPr>
      <w:r w:rsidRPr="00442CA1">
        <w:rPr>
          <w:rStyle w:val="FootnoteReference"/>
          <w:sz w:val="24"/>
          <w:szCs w:val="24"/>
        </w:rPr>
        <w:footnoteRef/>
      </w:r>
      <w:r>
        <w:rPr>
          <w:sz w:val="24"/>
          <w:szCs w:val="24"/>
        </w:rPr>
        <w:t xml:space="preserve"> See </w:t>
      </w:r>
      <w:r w:rsidRPr="00442CA1">
        <w:rPr>
          <w:rFonts w:ascii="Tms Rmn" w:hAnsi="Tms Rmn" w:cs="Tms Rmn"/>
          <w:color w:val="000000"/>
          <w:sz w:val="24"/>
          <w:szCs w:val="24"/>
        </w:rPr>
        <w:t xml:space="preserve">Case 94-E-0952 </w:t>
      </w:r>
      <w:r>
        <w:rPr>
          <w:rFonts w:ascii="Tms Rmn" w:hAnsi="Tms Rmn" w:cs="Tms Rmn"/>
          <w:color w:val="000000"/>
          <w:sz w:val="24"/>
          <w:szCs w:val="24"/>
        </w:rPr>
        <w:t>,</w:t>
      </w:r>
      <w:r w:rsidRPr="00442CA1">
        <w:rPr>
          <w:rFonts w:ascii="Tms Rmn" w:hAnsi="Tms Rmn" w:cs="Tms Rmn"/>
          <w:color w:val="000000"/>
          <w:sz w:val="24"/>
          <w:szCs w:val="24"/>
        </w:rPr>
        <w:t xml:space="preserve"> </w:t>
      </w:r>
      <w:r w:rsidRPr="00BD03FC">
        <w:rPr>
          <w:rFonts w:ascii="Tms Rmn" w:hAnsi="Tms Rmn" w:cs="Tms Rmn"/>
          <w:color w:val="000000"/>
          <w:sz w:val="24"/>
          <w:szCs w:val="24"/>
        </w:rPr>
        <w:t>I</w:t>
      </w:r>
      <w:r w:rsidRPr="005B71A5">
        <w:rPr>
          <w:rFonts w:ascii="Tms Rmn" w:hAnsi="Tms Rmn" w:cs="Tms Rmn"/>
          <w:color w:val="000000"/>
          <w:sz w:val="24"/>
          <w:szCs w:val="24"/>
        </w:rPr>
        <w:t>n the Matter of Competitive Opportunities Regarding Electric Service</w:t>
      </w:r>
      <w:r w:rsidRPr="00442CA1">
        <w:rPr>
          <w:rFonts w:ascii="Tms Rmn" w:hAnsi="Tms Rmn" w:cs="Tms Rmn"/>
          <w:color w:val="000000"/>
          <w:sz w:val="24"/>
          <w:szCs w:val="24"/>
        </w:rPr>
        <w:t xml:space="preserve">, </w:t>
      </w:r>
      <w:r w:rsidRPr="005B71A5">
        <w:rPr>
          <w:rFonts w:ascii="Tms Rmn" w:hAnsi="Tms Rmn" w:cs="Tms Rmn"/>
          <w:color w:val="000000"/>
          <w:sz w:val="24"/>
          <w:szCs w:val="24"/>
          <w:u w:val="single"/>
        </w:rPr>
        <w:t>Opinion &amp; Order Regarding Competitive Opportunities for Electric Service</w:t>
      </w:r>
      <w:r w:rsidRPr="00442CA1">
        <w:rPr>
          <w:rFonts w:ascii="Tms Rmn" w:hAnsi="Tms Rmn" w:cs="Tms Rmn"/>
          <w:color w:val="000000"/>
          <w:sz w:val="24"/>
          <w:szCs w:val="24"/>
        </w:rPr>
        <w:t xml:space="preserve">, </w:t>
      </w:r>
      <w:hyperlink r:id="rId1" w:history="1">
        <w:r w:rsidRPr="00442CA1">
          <w:rPr>
            <w:rFonts w:ascii="Tms Rmn" w:hAnsi="Tms Rmn" w:cs="Tms Rmn"/>
            <w:color w:val="000000"/>
            <w:sz w:val="24"/>
            <w:szCs w:val="24"/>
          </w:rPr>
          <w:t>Op. No. 96-12, confirmed 196 Misc.2</w:t>
        </w:r>
        <w:r>
          <w:rPr>
            <w:rFonts w:ascii="Tms Rmn" w:hAnsi="Tms Rmn" w:cs="Tms Rmn"/>
            <w:color w:val="000000"/>
            <w:sz w:val="24"/>
            <w:szCs w:val="24"/>
          </w:rPr>
          <w:t>d</w:t>
        </w:r>
        <w:r w:rsidRPr="00442CA1">
          <w:rPr>
            <w:rFonts w:ascii="Tms Rmn" w:hAnsi="Tms Rmn" w:cs="Tms Rmn"/>
            <w:color w:val="000000"/>
            <w:sz w:val="24"/>
            <w:szCs w:val="24"/>
          </w:rPr>
          <w:t xml:space="preserve"> 924 (Albany County 1996), </w:t>
        </w:r>
        <w:proofErr w:type="spellStart"/>
        <w:r w:rsidRPr="00442CA1">
          <w:rPr>
            <w:rFonts w:ascii="Tms Rmn" w:hAnsi="Tms Rmn" w:cs="Tms Rmn"/>
            <w:color w:val="000000"/>
            <w:sz w:val="24"/>
            <w:szCs w:val="24"/>
          </w:rPr>
          <w:t>aff'd</w:t>
        </w:r>
        <w:proofErr w:type="spellEnd"/>
      </w:hyperlink>
      <w:r w:rsidRPr="00442CA1">
        <w:rPr>
          <w:rFonts w:ascii="Tms Rmn" w:hAnsi="Tms Rmn" w:cs="Tms Rmn"/>
          <w:color w:val="000000"/>
          <w:sz w:val="24"/>
          <w:szCs w:val="24"/>
        </w:rPr>
        <w:t>, 273 A.D.2d 708</w:t>
      </w:r>
      <w:r>
        <w:rPr>
          <w:rFonts w:ascii="Tms Rmn" w:hAnsi="Tms Rmn" w:cs="Tms Rmn"/>
          <w:color w:val="000000"/>
          <w:sz w:val="24"/>
          <w:szCs w:val="24"/>
        </w:rPr>
        <w:t xml:space="preserve">; Case 93-G-0932, </w:t>
      </w:r>
      <w:r w:rsidRPr="0021271F">
        <w:rPr>
          <w:rFonts w:ascii="Tms Rmn" w:hAnsi="Tms Rmn" w:cs="Tms Rmn"/>
          <w:color w:val="000000"/>
          <w:sz w:val="24"/>
          <w:szCs w:val="24"/>
        </w:rPr>
        <w:t>Proceeding on Motion of the Commission to Address Issues Associated with the Restructuring of the Emerging Competitive Natural Gas Market</w:t>
      </w:r>
      <w:r>
        <w:rPr>
          <w:rFonts w:ascii="Tms Rmn" w:hAnsi="Tms Rmn" w:cs="Tms Rmn"/>
          <w:color w:val="000000"/>
          <w:sz w:val="24"/>
          <w:szCs w:val="24"/>
        </w:rPr>
        <w:t xml:space="preserve">; </w:t>
      </w:r>
      <w:r w:rsidRPr="0021271F">
        <w:rPr>
          <w:sz w:val="24"/>
          <w:szCs w:val="24"/>
        </w:rPr>
        <w:t>Case 98-M-1343, In the Matter of Retail Access Business Rules</w:t>
      </w:r>
      <w:r w:rsidRPr="0021271F">
        <w:rPr>
          <w:rFonts w:ascii="Tms Rmn" w:hAnsi="Tms Rmn" w:cs="Tms Rmn"/>
          <w:color w:val="000000"/>
          <w:sz w:val="24"/>
          <w:szCs w:val="24"/>
        </w:rPr>
        <w:t>.</w:t>
      </w:r>
    </w:p>
  </w:footnote>
  <w:footnote w:id="25">
    <w:p w:rsidR="00BD03FC" w:rsidRDefault="00BD03FC" w:rsidP="007F51FA">
      <w:pPr>
        <w:pStyle w:val="FootnoteText"/>
      </w:pPr>
      <w:r>
        <w:rPr>
          <w:rStyle w:val="FootnoteReference"/>
        </w:rPr>
        <w:footnoteRef/>
      </w:r>
      <w:r>
        <w:t xml:space="preserve">  </w:t>
      </w:r>
      <w:proofErr w:type="gramStart"/>
      <w:r w:rsidRPr="00764C2A">
        <w:rPr>
          <w:sz w:val="24"/>
          <w:szCs w:val="24"/>
        </w:rPr>
        <w:t>82 N.Y.2d 395, 407 (1993).</w:t>
      </w:r>
      <w:proofErr w:type="gramEnd"/>
      <w:r w:rsidRPr="008E09B5">
        <w:rPr>
          <w:sz w:val="24"/>
          <w:szCs w:val="24"/>
          <w:u w:val="single"/>
        </w:rPr>
        <w:t xml:space="preserve"> </w:t>
      </w:r>
    </w:p>
  </w:footnote>
  <w:footnote w:id="26">
    <w:p w:rsidR="00BD03FC" w:rsidRDefault="00BD03FC" w:rsidP="00BD03FC">
      <w:pPr>
        <w:pStyle w:val="FootnoteText"/>
      </w:pPr>
      <w:r>
        <w:rPr>
          <w:rStyle w:val="FootnoteReference"/>
        </w:rPr>
        <w:footnoteRef/>
      </w:r>
      <w:r>
        <w:t xml:space="preserve">  </w:t>
      </w:r>
      <w:proofErr w:type="gramStart"/>
      <w:r w:rsidRPr="0052225A">
        <w:rPr>
          <w:sz w:val="24"/>
          <w:szCs w:val="24"/>
          <w:u w:val="single"/>
        </w:rPr>
        <w:t>Washington Post Co. v</w:t>
      </w:r>
      <w:r w:rsidR="00A44C07">
        <w:rPr>
          <w:sz w:val="24"/>
          <w:szCs w:val="24"/>
          <w:u w:val="single"/>
        </w:rPr>
        <w:t>.</w:t>
      </w:r>
      <w:proofErr w:type="gramEnd"/>
      <w:r w:rsidRPr="0052225A">
        <w:rPr>
          <w:sz w:val="24"/>
          <w:szCs w:val="24"/>
          <w:u w:val="single"/>
        </w:rPr>
        <w:t xml:space="preserve"> </w:t>
      </w:r>
      <w:proofErr w:type="gramStart"/>
      <w:r w:rsidRPr="0052225A">
        <w:rPr>
          <w:sz w:val="24"/>
          <w:szCs w:val="24"/>
          <w:u w:val="single"/>
        </w:rPr>
        <w:t>New York State Ins.</w:t>
      </w:r>
      <w:r w:rsidRPr="0052225A">
        <w:rPr>
          <w:u w:val="single"/>
        </w:rPr>
        <w:t xml:space="preserve"> </w:t>
      </w:r>
      <w:r w:rsidRPr="0052225A">
        <w:rPr>
          <w:sz w:val="24"/>
          <w:szCs w:val="24"/>
          <w:u w:val="single"/>
        </w:rPr>
        <w:t>Dept.</w:t>
      </w:r>
      <w:r w:rsidRPr="0052225A">
        <w:rPr>
          <w:i/>
          <w:iCs/>
          <w:sz w:val="24"/>
          <w:szCs w:val="24"/>
        </w:rPr>
        <w:t xml:space="preserve">, </w:t>
      </w:r>
      <w:r w:rsidRPr="0052225A">
        <w:rPr>
          <w:sz w:val="24"/>
          <w:szCs w:val="24"/>
        </w:rPr>
        <w:t>61 NY2d 557, 564</w:t>
      </w:r>
      <w:r w:rsidRPr="0052225A">
        <w:t xml:space="preserve"> (</w:t>
      </w:r>
      <w:r w:rsidRPr="0052225A">
        <w:rPr>
          <w:sz w:val="24"/>
          <w:szCs w:val="24"/>
        </w:rPr>
        <w:t>1984).</w:t>
      </w:r>
      <w:proofErr w:type="gramEnd"/>
    </w:p>
  </w:footnote>
  <w:footnote w:id="27">
    <w:p w:rsidR="00BD03FC" w:rsidRDefault="00BD03FC" w:rsidP="00BD03FC">
      <w:pPr>
        <w:pStyle w:val="FootnoteText"/>
        <w:tabs>
          <w:tab w:val="left" w:pos="360"/>
        </w:tabs>
      </w:pPr>
      <w:r w:rsidRPr="00764C2A">
        <w:rPr>
          <w:rStyle w:val="FootnoteReference"/>
          <w:sz w:val="24"/>
          <w:szCs w:val="24"/>
        </w:rPr>
        <w:footnoteRef/>
      </w:r>
      <w:r w:rsidRPr="00764C2A">
        <w:rPr>
          <w:sz w:val="24"/>
          <w:szCs w:val="24"/>
        </w:rPr>
        <w:t xml:space="preserve"> </w:t>
      </w:r>
      <w:proofErr w:type="gramStart"/>
      <w:r w:rsidRPr="00764C2A">
        <w:rPr>
          <w:sz w:val="24"/>
          <w:szCs w:val="24"/>
        </w:rPr>
        <w:t>67 N.Y.2d 562, 566, 570 (1986).</w:t>
      </w:r>
      <w:proofErr w:type="gramEnd"/>
    </w:p>
  </w:footnote>
  <w:footnote w:id="28">
    <w:p w:rsidR="00BD03FC" w:rsidRDefault="00BD03FC" w:rsidP="00BD03FC">
      <w:pPr>
        <w:pStyle w:val="FootnoteText"/>
        <w:tabs>
          <w:tab w:val="clear" w:pos="432"/>
          <w:tab w:val="left" w:pos="360"/>
        </w:tabs>
      </w:pPr>
      <w:r w:rsidRPr="00D97074">
        <w:rPr>
          <w:rStyle w:val="FootnoteReference"/>
          <w:sz w:val="24"/>
          <w:szCs w:val="24"/>
        </w:rPr>
        <w:footnoteRef/>
      </w:r>
      <w:r w:rsidRPr="00D97074">
        <w:rPr>
          <w:sz w:val="24"/>
          <w:szCs w:val="24"/>
        </w:rPr>
        <w:t xml:space="preserve"> See, </w:t>
      </w:r>
      <w:r w:rsidRPr="00D97074">
        <w:rPr>
          <w:sz w:val="24"/>
          <w:szCs w:val="24"/>
          <w:u w:val="single"/>
        </w:rPr>
        <w:t>Church of Scientology of New York v. State of New York</w:t>
      </w:r>
      <w:r w:rsidRPr="00D97074">
        <w:rPr>
          <w:sz w:val="24"/>
          <w:szCs w:val="24"/>
        </w:rPr>
        <w:t xml:space="preserve">, </w:t>
      </w:r>
      <w:proofErr w:type="gramStart"/>
      <w:r w:rsidRPr="00D97074">
        <w:rPr>
          <w:sz w:val="24"/>
          <w:szCs w:val="24"/>
        </w:rPr>
        <w:t>46 N.Y.2d 906</w:t>
      </w:r>
      <w:proofErr w:type="gramEnd"/>
      <w:r w:rsidRPr="00D97074">
        <w:rPr>
          <w:sz w:val="24"/>
          <w:szCs w:val="24"/>
        </w:rPr>
        <w:t xml:space="preserve"> (1979).</w:t>
      </w:r>
    </w:p>
  </w:footnote>
  <w:footnote w:id="29">
    <w:p w:rsidR="00BD03FC" w:rsidRDefault="00BD03FC" w:rsidP="00100D59">
      <w:pPr>
        <w:pStyle w:val="FootnoteText"/>
        <w:tabs>
          <w:tab w:val="left" w:pos="360"/>
        </w:tabs>
        <w:spacing w:after="0"/>
      </w:pPr>
      <w:r w:rsidRPr="00D97074">
        <w:rPr>
          <w:rStyle w:val="FootnoteReference"/>
          <w:sz w:val="24"/>
          <w:szCs w:val="24"/>
        </w:rPr>
        <w:footnoteRef/>
      </w:r>
      <w:r w:rsidRPr="00D97074">
        <w:rPr>
          <w:sz w:val="24"/>
          <w:szCs w:val="24"/>
        </w:rPr>
        <w:t xml:space="preserve"> </w:t>
      </w:r>
      <w:r w:rsidRPr="00D97074">
        <w:rPr>
          <w:sz w:val="24"/>
          <w:szCs w:val="24"/>
          <w:u w:val="single"/>
        </w:rPr>
        <w:t>Capital Newspapers v. Burns</w:t>
      </w:r>
      <w:r w:rsidRPr="00D97074">
        <w:rPr>
          <w:sz w:val="24"/>
          <w:szCs w:val="24"/>
        </w:rPr>
        <w:t xml:space="preserve">, </w:t>
      </w:r>
      <w:r w:rsidRPr="00BD03FC">
        <w:rPr>
          <w:sz w:val="24"/>
          <w:szCs w:val="24"/>
          <w:u w:val="single"/>
        </w:rPr>
        <w:t>supra</w:t>
      </w:r>
      <w:r>
        <w:rPr>
          <w:sz w:val="24"/>
          <w:szCs w:val="24"/>
        </w:rPr>
        <w:t xml:space="preserve"> at </w:t>
      </w:r>
      <w:r w:rsidRPr="00D97074">
        <w:rPr>
          <w:sz w:val="24"/>
          <w:szCs w:val="24"/>
        </w:rPr>
        <w:t>566, 570 (1986).</w:t>
      </w:r>
    </w:p>
  </w:footnote>
  <w:footnote w:id="30">
    <w:p w:rsidR="00BD03FC" w:rsidRPr="007C62F2" w:rsidRDefault="00BD03FC" w:rsidP="005F51A9">
      <w:r>
        <w:rPr>
          <w:rStyle w:val="FootnoteReference"/>
        </w:rPr>
        <w:footnoteRef/>
      </w:r>
      <w:r>
        <w:t xml:space="preserve"> </w:t>
      </w:r>
      <w:proofErr w:type="gramStart"/>
      <w:r w:rsidRPr="007C62F2">
        <w:t>Cases 12-E-0201 and 12-G-0202</w:t>
      </w:r>
      <w:r>
        <w:t>,</w:t>
      </w:r>
      <w:r w:rsidRPr="007C62F2">
        <w:t xml:space="preserve"> Proceeding on Motion of the Commission as to the Rates.</w:t>
      </w:r>
      <w:proofErr w:type="gramEnd"/>
    </w:p>
    <w:p w:rsidR="00BD03FC" w:rsidRPr="00C863CC" w:rsidRDefault="00BD03FC" w:rsidP="005F51A9">
      <w:r w:rsidRPr="007C62F2">
        <w:t>Charges</w:t>
      </w:r>
      <w:r>
        <w:t>,</w:t>
      </w:r>
      <w:r w:rsidRPr="007C62F2">
        <w:t xml:space="preserve"> </w:t>
      </w:r>
      <w:r w:rsidRPr="00C863CC">
        <w:t>Rules and Regulations of Niagara Mohawk Power Corporation d/b/a National Grid for Electric</w:t>
      </w:r>
    </w:p>
    <w:p w:rsidR="00BD03FC" w:rsidRDefault="00BD03FC" w:rsidP="00BD03FC">
      <w:pPr>
        <w:spacing w:after="120"/>
      </w:pPr>
      <w:proofErr w:type="gramStart"/>
      <w:r w:rsidRPr="00C863CC">
        <w:t>and</w:t>
      </w:r>
      <w:proofErr w:type="gramEnd"/>
      <w:r w:rsidRPr="00C863CC">
        <w:t xml:space="preserve"> Gas Service</w:t>
      </w:r>
      <w:r w:rsidRPr="007C62F2">
        <w:t xml:space="preserve">. </w:t>
      </w:r>
      <w:r w:rsidRPr="00C863CC">
        <w:rPr>
          <w:u w:val="single"/>
        </w:rPr>
        <w:t>Ruling Denying, in Full, the Motion of the Retail Energy Supply Association</w:t>
      </w:r>
      <w:r>
        <w:t xml:space="preserve"> (issued</w:t>
      </w:r>
      <w:r w:rsidRPr="007C62F2">
        <w:t xml:space="preserve"> </w:t>
      </w:r>
      <w:r>
        <w:t>September 7, 2012)</w:t>
      </w:r>
      <w:r w:rsidRPr="007C62F2">
        <w:t>.</w:t>
      </w:r>
    </w:p>
  </w:footnote>
  <w:footnote w:id="31">
    <w:p w:rsidR="00BD03FC" w:rsidRDefault="00BD03FC" w:rsidP="00BD03FC">
      <w:pPr>
        <w:pStyle w:val="FootnoteText"/>
      </w:pPr>
      <w:r w:rsidRPr="00A44C07">
        <w:rPr>
          <w:rStyle w:val="FootnoteReference"/>
          <w:sz w:val="24"/>
          <w:szCs w:val="24"/>
        </w:rPr>
        <w:footnoteRef/>
      </w:r>
      <w:r w:rsidRPr="00A44C07">
        <w:rPr>
          <w:sz w:val="24"/>
          <w:szCs w:val="24"/>
        </w:rPr>
        <w:t xml:space="preserve"> </w:t>
      </w:r>
      <w:proofErr w:type="gramStart"/>
      <w:r w:rsidRPr="00C863CC">
        <w:rPr>
          <w:sz w:val="24"/>
          <w:szCs w:val="24"/>
          <w:u w:val="single"/>
        </w:rPr>
        <w:t>Id.</w:t>
      </w:r>
      <w:r w:rsidRPr="00C863CC">
        <w:rPr>
          <w:sz w:val="24"/>
          <w:szCs w:val="24"/>
        </w:rPr>
        <w:t xml:space="preserve"> at 16.</w:t>
      </w:r>
      <w:proofErr w:type="gramEnd"/>
    </w:p>
  </w:footnote>
  <w:footnote w:id="32">
    <w:p w:rsidR="00BD03FC" w:rsidRDefault="00BD03FC" w:rsidP="00BD03FC">
      <w:pPr>
        <w:pStyle w:val="FootnoteText"/>
        <w:tabs>
          <w:tab w:val="clear" w:pos="432"/>
          <w:tab w:val="left" w:pos="0"/>
        </w:tabs>
        <w:ind w:left="0" w:firstLine="0"/>
      </w:pPr>
      <w:r w:rsidRPr="006D37C8">
        <w:rPr>
          <w:rStyle w:val="FootnoteReference"/>
          <w:sz w:val="24"/>
          <w:szCs w:val="24"/>
        </w:rPr>
        <w:footnoteRef/>
      </w:r>
      <w:r w:rsidRPr="006D37C8">
        <w:rPr>
          <w:sz w:val="24"/>
          <w:szCs w:val="24"/>
        </w:rPr>
        <w:t xml:space="preserve"> See Matter 12-00172, Statement of Necessity, National Fuel Gas Distribution Company.</w:t>
      </w:r>
    </w:p>
  </w:footnote>
  <w:footnote w:id="33">
    <w:p w:rsidR="00BD03FC" w:rsidRDefault="00BD03FC" w:rsidP="00BD03FC">
      <w:pPr>
        <w:pStyle w:val="FootnoteText"/>
      </w:pPr>
      <w:r w:rsidRPr="00962BAE">
        <w:rPr>
          <w:rStyle w:val="FootnoteReference"/>
          <w:sz w:val="24"/>
          <w:szCs w:val="24"/>
        </w:rPr>
        <w:footnoteRef/>
      </w:r>
      <w:r w:rsidRPr="00962BAE">
        <w:rPr>
          <w:sz w:val="24"/>
          <w:szCs w:val="24"/>
        </w:rPr>
        <w:t xml:space="preserve"> See RESA Statement of Necessity </w:t>
      </w:r>
      <w:r w:rsidR="00A44C07">
        <w:rPr>
          <w:sz w:val="24"/>
          <w:szCs w:val="24"/>
        </w:rPr>
        <w:t>at</w:t>
      </w:r>
      <w:r w:rsidRPr="00962BAE">
        <w:rPr>
          <w:sz w:val="24"/>
          <w:szCs w:val="24"/>
        </w:rPr>
        <w:t xml:space="preserve"> 10-11, 15.</w:t>
      </w:r>
    </w:p>
  </w:footnote>
  <w:footnote w:id="34">
    <w:p w:rsidR="00BD03FC" w:rsidRDefault="00BD03FC" w:rsidP="00BD03FC">
      <w:pPr>
        <w:pStyle w:val="FootnoteText"/>
        <w:tabs>
          <w:tab w:val="clear" w:pos="432"/>
        </w:tabs>
        <w:ind w:left="0" w:firstLine="0"/>
      </w:pPr>
      <w:r>
        <w:rPr>
          <w:rStyle w:val="FootnoteReference"/>
        </w:rPr>
        <w:footnoteRef/>
      </w:r>
      <w:r>
        <w:t xml:space="preserve"> </w:t>
      </w:r>
      <w:r w:rsidRPr="0046563F">
        <w:rPr>
          <w:color w:val="000000"/>
          <w:sz w:val="24"/>
          <w:szCs w:val="24"/>
        </w:rPr>
        <w:t xml:space="preserve">Case 12-M-0476, </w:t>
      </w:r>
      <w:r w:rsidR="00A44C07">
        <w:rPr>
          <w:color w:val="000000"/>
          <w:sz w:val="24"/>
          <w:szCs w:val="24"/>
        </w:rPr>
        <w:t xml:space="preserve">Retail Markets Order </w:t>
      </w:r>
      <w:r w:rsidR="00A44C07" w:rsidRPr="00A44C07">
        <w:rPr>
          <w:color w:val="000000"/>
          <w:sz w:val="24"/>
          <w:szCs w:val="24"/>
        </w:rPr>
        <w:t>at</w:t>
      </w:r>
      <w:r w:rsidRPr="00A44C07">
        <w:rPr>
          <w:color w:val="000000"/>
          <w:sz w:val="24"/>
          <w:szCs w:val="24"/>
        </w:rPr>
        <w:t xml:space="preserve"> </w:t>
      </w:r>
      <w:r w:rsidRPr="0046563F">
        <w:rPr>
          <w:color w:val="000000"/>
          <w:sz w:val="24"/>
          <w:szCs w:val="24"/>
        </w:rPr>
        <w:t>10</w:t>
      </w:r>
      <w:r>
        <w:rPr>
          <w:color w:val="000000"/>
        </w:rPr>
        <w:t>.</w:t>
      </w:r>
    </w:p>
  </w:footnote>
  <w:footnote w:id="35">
    <w:p w:rsidR="00BD03FC" w:rsidRDefault="00BD03FC" w:rsidP="00BD03FC">
      <w:pPr>
        <w:spacing w:after="120"/>
      </w:pPr>
      <w:r>
        <w:rPr>
          <w:rStyle w:val="FootnoteReference"/>
        </w:rPr>
        <w:footnoteRef/>
      </w:r>
      <w:r>
        <w:t xml:space="preserve"> </w:t>
      </w:r>
      <w:r w:rsidR="00A44C07" w:rsidRPr="00A44C07">
        <w:rPr>
          <w:u w:val="single"/>
        </w:rPr>
        <w:t>Supra</w:t>
      </w:r>
      <w:r w:rsidRPr="008736B1">
        <w:t xml:space="preserve">, </w:t>
      </w:r>
      <w:r w:rsidRPr="00846DCE">
        <w:t>October 2012 Order</w:t>
      </w:r>
      <w:r>
        <w:t xml:space="preserve">. </w:t>
      </w:r>
      <w:r w:rsidRPr="00846DCE">
        <w:t xml:space="preserve"> </w:t>
      </w:r>
    </w:p>
  </w:footnote>
  <w:footnote w:id="36">
    <w:p w:rsidR="00BD03FC" w:rsidRDefault="00BD03FC" w:rsidP="006C7F32">
      <w:pPr>
        <w:pStyle w:val="FootnoteText"/>
        <w:tabs>
          <w:tab w:val="clear" w:pos="432"/>
          <w:tab w:val="left" w:pos="0"/>
        </w:tabs>
        <w:spacing w:after="0"/>
        <w:ind w:left="0" w:firstLine="0"/>
      </w:pPr>
      <w:r w:rsidRPr="00433B44">
        <w:rPr>
          <w:rStyle w:val="FootnoteReference"/>
          <w:sz w:val="24"/>
          <w:szCs w:val="24"/>
        </w:rPr>
        <w:footnoteRef/>
      </w:r>
      <w:r>
        <w:rPr>
          <w:sz w:val="24"/>
          <w:szCs w:val="24"/>
        </w:rPr>
        <w:t xml:space="preserve"> </w:t>
      </w:r>
      <w:r w:rsidR="00A44C07" w:rsidRPr="00A44C07">
        <w:rPr>
          <w:sz w:val="24"/>
          <w:szCs w:val="24"/>
          <w:u w:val="single"/>
        </w:rPr>
        <w:t>Supra</w:t>
      </w:r>
      <w:r w:rsidRPr="006C7F32">
        <w:rPr>
          <w:sz w:val="24"/>
          <w:szCs w:val="24"/>
        </w:rPr>
        <w:t xml:space="preserve">, </w:t>
      </w:r>
      <w:r w:rsidR="00A44C07">
        <w:rPr>
          <w:sz w:val="24"/>
          <w:szCs w:val="24"/>
        </w:rPr>
        <w:t xml:space="preserve">Retail Markets </w:t>
      </w:r>
      <w:r w:rsidRPr="00A44C07">
        <w:rPr>
          <w:sz w:val="24"/>
          <w:szCs w:val="24"/>
        </w:rPr>
        <w:t xml:space="preserve">Order </w:t>
      </w:r>
      <w:r w:rsidRPr="006C7F32">
        <w:rPr>
          <w:sz w:val="24"/>
          <w:szCs w:val="24"/>
        </w:rPr>
        <w:t>at 12</w:t>
      </w:r>
      <w:r w:rsidRPr="00433B44">
        <w:rPr>
          <w:sz w:val="24"/>
          <w:szCs w:val="24"/>
        </w:rPr>
        <w:t>.</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FC" w:rsidRPr="00D34B68" w:rsidRDefault="00BD03FC" w:rsidP="00D34B68">
    <w:pPr>
      <w:pStyle w:val="Header"/>
    </w:pPr>
    <w:r>
      <w:t>Matter #11-01661 and #12-00172</w:t>
    </w:r>
  </w:p>
  <w:p w:rsidR="00BD03FC" w:rsidRPr="00D34B68" w:rsidRDefault="00BD03FC" w:rsidP="00D34B68">
    <w:pPr>
      <w:pStyle w:val="Header"/>
    </w:pPr>
    <w:r w:rsidRPr="00D34B68">
      <w:t>RAO Determination 1</w:t>
    </w:r>
    <w:r>
      <w:t>4</w:t>
    </w:r>
    <w:r w:rsidRPr="00D34B68">
      <w:t>-0</w:t>
    </w:r>
    <w:r>
      <w:t>1</w:t>
    </w:r>
  </w:p>
  <w:p w:rsidR="00BD03FC" w:rsidRPr="00D34B68" w:rsidRDefault="00BD03FC" w:rsidP="00D34B68">
    <w:pPr>
      <w:pStyle w:val="Header"/>
    </w:pPr>
    <w:r w:rsidRPr="00D34B68">
      <w:t xml:space="preserve">Page </w:t>
    </w:r>
    <w:r w:rsidR="0096353B">
      <w:fldChar w:fldCharType="begin"/>
    </w:r>
    <w:r w:rsidR="0096353B">
      <w:instrText xml:space="preserve"> PAGE   \* MERGEFORMAT </w:instrText>
    </w:r>
    <w:r w:rsidR="0096353B">
      <w:fldChar w:fldCharType="separate"/>
    </w:r>
    <w:r w:rsidR="0096353B">
      <w:rPr>
        <w:noProof/>
      </w:rPr>
      <w:t>8</w:t>
    </w:r>
    <w:r w:rsidR="0096353B">
      <w:rPr>
        <w:noProof/>
      </w:rPr>
      <w:fldChar w:fldCharType="end"/>
    </w:r>
  </w:p>
  <w:p w:rsidR="00BD03FC" w:rsidRDefault="00BD0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0C07BE"/>
    <w:lvl w:ilvl="0">
      <w:start w:val="1"/>
      <w:numFmt w:val="decimal"/>
      <w:lvlText w:val="%1."/>
      <w:lvlJc w:val="left"/>
      <w:pPr>
        <w:tabs>
          <w:tab w:val="num" w:pos="1800"/>
        </w:tabs>
        <w:ind w:left="1800" w:hanging="360"/>
      </w:pPr>
    </w:lvl>
  </w:abstractNum>
  <w:abstractNum w:abstractNumId="1">
    <w:nsid w:val="FFFFFF7D"/>
    <w:multiLevelType w:val="singleLevel"/>
    <w:tmpl w:val="BC32699E"/>
    <w:lvl w:ilvl="0">
      <w:start w:val="1"/>
      <w:numFmt w:val="decimal"/>
      <w:lvlText w:val="%1."/>
      <w:lvlJc w:val="left"/>
      <w:pPr>
        <w:tabs>
          <w:tab w:val="num" w:pos="1440"/>
        </w:tabs>
        <w:ind w:left="1440" w:hanging="360"/>
      </w:pPr>
    </w:lvl>
  </w:abstractNum>
  <w:abstractNum w:abstractNumId="2">
    <w:nsid w:val="FFFFFF7E"/>
    <w:multiLevelType w:val="singleLevel"/>
    <w:tmpl w:val="D8C000D0"/>
    <w:lvl w:ilvl="0">
      <w:start w:val="1"/>
      <w:numFmt w:val="decimal"/>
      <w:lvlText w:val="%1."/>
      <w:lvlJc w:val="left"/>
      <w:pPr>
        <w:tabs>
          <w:tab w:val="num" w:pos="1080"/>
        </w:tabs>
        <w:ind w:left="1080" w:hanging="360"/>
      </w:pPr>
    </w:lvl>
  </w:abstractNum>
  <w:abstractNum w:abstractNumId="3">
    <w:nsid w:val="FFFFFF7F"/>
    <w:multiLevelType w:val="singleLevel"/>
    <w:tmpl w:val="4E94F688"/>
    <w:lvl w:ilvl="0">
      <w:start w:val="1"/>
      <w:numFmt w:val="decimal"/>
      <w:lvlText w:val="%1."/>
      <w:lvlJc w:val="left"/>
      <w:pPr>
        <w:tabs>
          <w:tab w:val="num" w:pos="720"/>
        </w:tabs>
        <w:ind w:left="720" w:hanging="360"/>
      </w:pPr>
    </w:lvl>
  </w:abstractNum>
  <w:abstractNum w:abstractNumId="4">
    <w:nsid w:val="FFFFFF80"/>
    <w:multiLevelType w:val="singleLevel"/>
    <w:tmpl w:val="855A471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6D4D14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F1C2A6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F1878F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636FA86"/>
    <w:lvl w:ilvl="0">
      <w:start w:val="1"/>
      <w:numFmt w:val="decimal"/>
      <w:lvlText w:val="%1."/>
      <w:lvlJc w:val="left"/>
      <w:pPr>
        <w:tabs>
          <w:tab w:val="num" w:pos="360"/>
        </w:tabs>
        <w:ind w:left="360" w:hanging="360"/>
      </w:pPr>
    </w:lvl>
  </w:abstractNum>
  <w:abstractNum w:abstractNumId="9">
    <w:nsid w:val="FFFFFF89"/>
    <w:multiLevelType w:val="singleLevel"/>
    <w:tmpl w:val="9E5EE3E0"/>
    <w:lvl w:ilvl="0">
      <w:start w:val="1"/>
      <w:numFmt w:val="bullet"/>
      <w:lvlText w:val=""/>
      <w:lvlJc w:val="left"/>
      <w:pPr>
        <w:tabs>
          <w:tab w:val="num" w:pos="360"/>
        </w:tabs>
        <w:ind w:left="360" w:hanging="360"/>
      </w:pPr>
      <w:rPr>
        <w:rFonts w:ascii="Symbol" w:hAnsi="Symbol" w:cs="Symbol" w:hint="default"/>
      </w:rPr>
    </w:lvl>
  </w:abstractNum>
  <w:abstractNum w:abstractNumId="10">
    <w:nsid w:val="28E80174"/>
    <w:multiLevelType w:val="hybridMultilevel"/>
    <w:tmpl w:val="0338B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88B300C"/>
    <w:multiLevelType w:val="hybridMultilevel"/>
    <w:tmpl w:val="0338B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85"/>
    <w:rsid w:val="00002F8C"/>
    <w:rsid w:val="00006119"/>
    <w:rsid w:val="00006443"/>
    <w:rsid w:val="0002217E"/>
    <w:rsid w:val="0003438A"/>
    <w:rsid w:val="00035EAB"/>
    <w:rsid w:val="00037C68"/>
    <w:rsid w:val="000422A4"/>
    <w:rsid w:val="00045302"/>
    <w:rsid w:val="00045602"/>
    <w:rsid w:val="000465AF"/>
    <w:rsid w:val="00050373"/>
    <w:rsid w:val="0008349C"/>
    <w:rsid w:val="00086DF0"/>
    <w:rsid w:val="00094785"/>
    <w:rsid w:val="000A28A9"/>
    <w:rsid w:val="000A2CD3"/>
    <w:rsid w:val="000D26AB"/>
    <w:rsid w:val="000D4D17"/>
    <w:rsid w:val="000D64CC"/>
    <w:rsid w:val="000F5941"/>
    <w:rsid w:val="000F796D"/>
    <w:rsid w:val="00100D59"/>
    <w:rsid w:val="0013412E"/>
    <w:rsid w:val="001474A9"/>
    <w:rsid w:val="00151019"/>
    <w:rsid w:val="001517BC"/>
    <w:rsid w:val="00155E3D"/>
    <w:rsid w:val="00160627"/>
    <w:rsid w:val="00161C5C"/>
    <w:rsid w:val="0016557E"/>
    <w:rsid w:val="001761C5"/>
    <w:rsid w:val="0019239E"/>
    <w:rsid w:val="001A7B94"/>
    <w:rsid w:val="001C7333"/>
    <w:rsid w:val="001D5619"/>
    <w:rsid w:val="001D60DA"/>
    <w:rsid w:val="001D744B"/>
    <w:rsid w:val="0021271F"/>
    <w:rsid w:val="00240BB8"/>
    <w:rsid w:val="002424D1"/>
    <w:rsid w:val="00244E38"/>
    <w:rsid w:val="00254918"/>
    <w:rsid w:val="002703B2"/>
    <w:rsid w:val="00274DC2"/>
    <w:rsid w:val="00280489"/>
    <w:rsid w:val="002846D9"/>
    <w:rsid w:val="00286B0D"/>
    <w:rsid w:val="002A1BBB"/>
    <w:rsid w:val="002B187A"/>
    <w:rsid w:val="002C3EBD"/>
    <w:rsid w:val="002C5347"/>
    <w:rsid w:val="002C627F"/>
    <w:rsid w:val="002C6B42"/>
    <w:rsid w:val="002E33F3"/>
    <w:rsid w:val="002F31C4"/>
    <w:rsid w:val="00300B7D"/>
    <w:rsid w:val="003234C2"/>
    <w:rsid w:val="003352E9"/>
    <w:rsid w:val="003357E8"/>
    <w:rsid w:val="0033776D"/>
    <w:rsid w:val="0034063A"/>
    <w:rsid w:val="00340A28"/>
    <w:rsid w:val="003533C5"/>
    <w:rsid w:val="00354E80"/>
    <w:rsid w:val="003632E0"/>
    <w:rsid w:val="0038150F"/>
    <w:rsid w:val="00393878"/>
    <w:rsid w:val="00393C4A"/>
    <w:rsid w:val="003A77C1"/>
    <w:rsid w:val="003B5F18"/>
    <w:rsid w:val="003C0011"/>
    <w:rsid w:val="003C2AC0"/>
    <w:rsid w:val="003C3E33"/>
    <w:rsid w:val="003C59FC"/>
    <w:rsid w:val="003D038E"/>
    <w:rsid w:val="003D6B4C"/>
    <w:rsid w:val="003E4787"/>
    <w:rsid w:val="0043143E"/>
    <w:rsid w:val="00433B44"/>
    <w:rsid w:val="00433EE3"/>
    <w:rsid w:val="004350AC"/>
    <w:rsid w:val="004359C9"/>
    <w:rsid w:val="00442CA1"/>
    <w:rsid w:val="004533A3"/>
    <w:rsid w:val="004610C9"/>
    <w:rsid w:val="0046411C"/>
    <w:rsid w:val="0046563F"/>
    <w:rsid w:val="00475072"/>
    <w:rsid w:val="00485CCF"/>
    <w:rsid w:val="00490A30"/>
    <w:rsid w:val="00491E77"/>
    <w:rsid w:val="004A387E"/>
    <w:rsid w:val="004A6DCF"/>
    <w:rsid w:val="004B3C04"/>
    <w:rsid w:val="004C0C99"/>
    <w:rsid w:val="004C1776"/>
    <w:rsid w:val="004D7468"/>
    <w:rsid w:val="004E13B4"/>
    <w:rsid w:val="004E66AB"/>
    <w:rsid w:val="004F1434"/>
    <w:rsid w:val="004F64FC"/>
    <w:rsid w:val="0050175D"/>
    <w:rsid w:val="00510322"/>
    <w:rsid w:val="005134A9"/>
    <w:rsid w:val="0052225A"/>
    <w:rsid w:val="00522A83"/>
    <w:rsid w:val="0053670C"/>
    <w:rsid w:val="00542FF6"/>
    <w:rsid w:val="00546D78"/>
    <w:rsid w:val="005520EA"/>
    <w:rsid w:val="00552801"/>
    <w:rsid w:val="005607E6"/>
    <w:rsid w:val="00570FCA"/>
    <w:rsid w:val="0057265F"/>
    <w:rsid w:val="0058351C"/>
    <w:rsid w:val="005A456B"/>
    <w:rsid w:val="005B55C7"/>
    <w:rsid w:val="005B71A5"/>
    <w:rsid w:val="005D0FC8"/>
    <w:rsid w:val="005D3C25"/>
    <w:rsid w:val="005E3D91"/>
    <w:rsid w:val="005E5C8E"/>
    <w:rsid w:val="005E5F33"/>
    <w:rsid w:val="005E6CF6"/>
    <w:rsid w:val="005F4910"/>
    <w:rsid w:val="005F51A9"/>
    <w:rsid w:val="005F70B5"/>
    <w:rsid w:val="00603DAB"/>
    <w:rsid w:val="00604784"/>
    <w:rsid w:val="00607230"/>
    <w:rsid w:val="00612066"/>
    <w:rsid w:val="006123C5"/>
    <w:rsid w:val="00615625"/>
    <w:rsid w:val="00617563"/>
    <w:rsid w:val="00621C32"/>
    <w:rsid w:val="00636F8F"/>
    <w:rsid w:val="00643317"/>
    <w:rsid w:val="006438CE"/>
    <w:rsid w:val="00646216"/>
    <w:rsid w:val="006637D2"/>
    <w:rsid w:val="006645DC"/>
    <w:rsid w:val="00667A9D"/>
    <w:rsid w:val="00693B43"/>
    <w:rsid w:val="00696C01"/>
    <w:rsid w:val="006A3021"/>
    <w:rsid w:val="006A444D"/>
    <w:rsid w:val="006B0A1D"/>
    <w:rsid w:val="006B3FC1"/>
    <w:rsid w:val="006B68C0"/>
    <w:rsid w:val="006C7F32"/>
    <w:rsid w:val="006D37C8"/>
    <w:rsid w:val="006E12D2"/>
    <w:rsid w:val="006E5722"/>
    <w:rsid w:val="006F2660"/>
    <w:rsid w:val="006F4154"/>
    <w:rsid w:val="007006F8"/>
    <w:rsid w:val="00714188"/>
    <w:rsid w:val="00714599"/>
    <w:rsid w:val="00717D6B"/>
    <w:rsid w:val="00721CFC"/>
    <w:rsid w:val="00757D1D"/>
    <w:rsid w:val="007612BE"/>
    <w:rsid w:val="007646EF"/>
    <w:rsid w:val="00764C2A"/>
    <w:rsid w:val="007667D2"/>
    <w:rsid w:val="007673F7"/>
    <w:rsid w:val="007704E9"/>
    <w:rsid w:val="00771899"/>
    <w:rsid w:val="0078021B"/>
    <w:rsid w:val="0078531D"/>
    <w:rsid w:val="007A5BB5"/>
    <w:rsid w:val="007B1528"/>
    <w:rsid w:val="007B622E"/>
    <w:rsid w:val="007B7BAB"/>
    <w:rsid w:val="007C62F2"/>
    <w:rsid w:val="007F0567"/>
    <w:rsid w:val="007F51FA"/>
    <w:rsid w:val="007F53A0"/>
    <w:rsid w:val="007F568A"/>
    <w:rsid w:val="00816E22"/>
    <w:rsid w:val="00823367"/>
    <w:rsid w:val="00827CF4"/>
    <w:rsid w:val="00841386"/>
    <w:rsid w:val="00846DCE"/>
    <w:rsid w:val="0084769E"/>
    <w:rsid w:val="00850401"/>
    <w:rsid w:val="00862044"/>
    <w:rsid w:val="00867FF8"/>
    <w:rsid w:val="008736B1"/>
    <w:rsid w:val="0087472C"/>
    <w:rsid w:val="00885D77"/>
    <w:rsid w:val="008863E4"/>
    <w:rsid w:val="008C1551"/>
    <w:rsid w:val="008E09B5"/>
    <w:rsid w:val="008E70D8"/>
    <w:rsid w:val="00903C27"/>
    <w:rsid w:val="00911743"/>
    <w:rsid w:val="00937DED"/>
    <w:rsid w:val="00962BAE"/>
    <w:rsid w:val="0096353B"/>
    <w:rsid w:val="00965290"/>
    <w:rsid w:val="00971A61"/>
    <w:rsid w:val="00973487"/>
    <w:rsid w:val="00975EF1"/>
    <w:rsid w:val="00976EB3"/>
    <w:rsid w:val="0099628B"/>
    <w:rsid w:val="009B169C"/>
    <w:rsid w:val="009B57FA"/>
    <w:rsid w:val="009E5007"/>
    <w:rsid w:val="009E5466"/>
    <w:rsid w:val="009E595C"/>
    <w:rsid w:val="009F0A52"/>
    <w:rsid w:val="009F27C2"/>
    <w:rsid w:val="009F3E06"/>
    <w:rsid w:val="009F4EC7"/>
    <w:rsid w:val="00A11FF4"/>
    <w:rsid w:val="00A146C8"/>
    <w:rsid w:val="00A23937"/>
    <w:rsid w:val="00A31262"/>
    <w:rsid w:val="00A35B20"/>
    <w:rsid w:val="00A416BF"/>
    <w:rsid w:val="00A44C07"/>
    <w:rsid w:val="00A4762F"/>
    <w:rsid w:val="00A51BEE"/>
    <w:rsid w:val="00A5660C"/>
    <w:rsid w:val="00A65F5B"/>
    <w:rsid w:val="00A66B37"/>
    <w:rsid w:val="00A7062D"/>
    <w:rsid w:val="00A837CC"/>
    <w:rsid w:val="00A84C91"/>
    <w:rsid w:val="00A85241"/>
    <w:rsid w:val="00A911A0"/>
    <w:rsid w:val="00AA1F85"/>
    <w:rsid w:val="00AB5DC2"/>
    <w:rsid w:val="00AD3A2B"/>
    <w:rsid w:val="00AE1781"/>
    <w:rsid w:val="00AE1CEB"/>
    <w:rsid w:val="00AE4E29"/>
    <w:rsid w:val="00AF3E7E"/>
    <w:rsid w:val="00B16988"/>
    <w:rsid w:val="00B21325"/>
    <w:rsid w:val="00B245DD"/>
    <w:rsid w:val="00B32C50"/>
    <w:rsid w:val="00B33025"/>
    <w:rsid w:val="00B355F6"/>
    <w:rsid w:val="00B42A3F"/>
    <w:rsid w:val="00B50231"/>
    <w:rsid w:val="00B573EB"/>
    <w:rsid w:val="00B6024A"/>
    <w:rsid w:val="00B60DA2"/>
    <w:rsid w:val="00B670DD"/>
    <w:rsid w:val="00B7077F"/>
    <w:rsid w:val="00B7406F"/>
    <w:rsid w:val="00B8181D"/>
    <w:rsid w:val="00BA5FD2"/>
    <w:rsid w:val="00BC7DA0"/>
    <w:rsid w:val="00BD03FC"/>
    <w:rsid w:val="00BD0DAC"/>
    <w:rsid w:val="00BD3C6E"/>
    <w:rsid w:val="00BE6408"/>
    <w:rsid w:val="00BF4A6C"/>
    <w:rsid w:val="00C06175"/>
    <w:rsid w:val="00C16F4B"/>
    <w:rsid w:val="00C23BDB"/>
    <w:rsid w:val="00C25B68"/>
    <w:rsid w:val="00C27523"/>
    <w:rsid w:val="00C30236"/>
    <w:rsid w:val="00C52086"/>
    <w:rsid w:val="00C6009A"/>
    <w:rsid w:val="00C6501F"/>
    <w:rsid w:val="00C730BD"/>
    <w:rsid w:val="00C810C0"/>
    <w:rsid w:val="00C863CC"/>
    <w:rsid w:val="00C90853"/>
    <w:rsid w:val="00C90C01"/>
    <w:rsid w:val="00C9103D"/>
    <w:rsid w:val="00C915F4"/>
    <w:rsid w:val="00CB21CF"/>
    <w:rsid w:val="00CB7E1A"/>
    <w:rsid w:val="00CC1651"/>
    <w:rsid w:val="00CF2E3B"/>
    <w:rsid w:val="00CF3B49"/>
    <w:rsid w:val="00CF662E"/>
    <w:rsid w:val="00D10E60"/>
    <w:rsid w:val="00D175F9"/>
    <w:rsid w:val="00D24DAC"/>
    <w:rsid w:val="00D34B68"/>
    <w:rsid w:val="00D36A5B"/>
    <w:rsid w:val="00D41629"/>
    <w:rsid w:val="00D426CA"/>
    <w:rsid w:val="00D42C19"/>
    <w:rsid w:val="00D4337D"/>
    <w:rsid w:val="00D462AA"/>
    <w:rsid w:val="00D555EF"/>
    <w:rsid w:val="00D67461"/>
    <w:rsid w:val="00D7191C"/>
    <w:rsid w:val="00D81F84"/>
    <w:rsid w:val="00D8419D"/>
    <w:rsid w:val="00D9086F"/>
    <w:rsid w:val="00D90D90"/>
    <w:rsid w:val="00D97074"/>
    <w:rsid w:val="00DA45DB"/>
    <w:rsid w:val="00DB00EF"/>
    <w:rsid w:val="00DC084C"/>
    <w:rsid w:val="00DD73BB"/>
    <w:rsid w:val="00DE4357"/>
    <w:rsid w:val="00DE5626"/>
    <w:rsid w:val="00DE7718"/>
    <w:rsid w:val="00DF5666"/>
    <w:rsid w:val="00DF5ABA"/>
    <w:rsid w:val="00E379C0"/>
    <w:rsid w:val="00E4005C"/>
    <w:rsid w:val="00E51AF8"/>
    <w:rsid w:val="00E534CC"/>
    <w:rsid w:val="00E54992"/>
    <w:rsid w:val="00E57B8A"/>
    <w:rsid w:val="00E81E0A"/>
    <w:rsid w:val="00EB1890"/>
    <w:rsid w:val="00EB1ABA"/>
    <w:rsid w:val="00EB2C90"/>
    <w:rsid w:val="00EB56B4"/>
    <w:rsid w:val="00EC701B"/>
    <w:rsid w:val="00ED3239"/>
    <w:rsid w:val="00ED4AD3"/>
    <w:rsid w:val="00F32DA6"/>
    <w:rsid w:val="00F32E25"/>
    <w:rsid w:val="00F4431E"/>
    <w:rsid w:val="00F51237"/>
    <w:rsid w:val="00F70885"/>
    <w:rsid w:val="00F80955"/>
    <w:rsid w:val="00FA663C"/>
    <w:rsid w:val="00FB72C1"/>
    <w:rsid w:val="00FD57A9"/>
    <w:rsid w:val="00FE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88"/>
    <w:rPr>
      <w:sz w:val="24"/>
      <w:szCs w:val="24"/>
    </w:rPr>
  </w:style>
  <w:style w:type="paragraph" w:styleId="Heading1">
    <w:name w:val="heading 1"/>
    <w:basedOn w:val="Normal"/>
    <w:next w:val="Normal"/>
    <w:link w:val="Heading1Char"/>
    <w:uiPriority w:val="99"/>
    <w:qFormat/>
    <w:rsid w:val="00714188"/>
    <w:pPr>
      <w:keepNext/>
      <w:outlineLvl w:val="0"/>
    </w:pPr>
    <w:rPr>
      <w:b/>
      <w:bCs/>
      <w:i/>
      <w:iCs/>
      <w:sz w:val="16"/>
      <w:szCs w:val="16"/>
    </w:rPr>
  </w:style>
  <w:style w:type="paragraph" w:styleId="Heading2">
    <w:name w:val="heading 2"/>
    <w:basedOn w:val="Normal"/>
    <w:next w:val="Normal"/>
    <w:link w:val="Heading2Char"/>
    <w:uiPriority w:val="99"/>
    <w:qFormat/>
    <w:rsid w:val="00714188"/>
    <w:pPr>
      <w:keepNext/>
      <w:jc w:val="center"/>
      <w:outlineLvl w:val="1"/>
    </w:pPr>
    <w:rPr>
      <w:b/>
      <w:bCs/>
    </w:rPr>
  </w:style>
  <w:style w:type="paragraph" w:styleId="Heading3">
    <w:name w:val="heading 3"/>
    <w:basedOn w:val="Normal"/>
    <w:next w:val="Normal"/>
    <w:link w:val="Heading3Char"/>
    <w:uiPriority w:val="99"/>
    <w:qFormat/>
    <w:rsid w:val="00714188"/>
    <w:pPr>
      <w:keepNext/>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5E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555E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555EF"/>
    <w:rPr>
      <w:rFonts w:ascii="Cambria" w:hAnsi="Cambria" w:cs="Cambria"/>
      <w:b/>
      <w:bCs/>
      <w:sz w:val="26"/>
      <w:szCs w:val="26"/>
    </w:rPr>
  </w:style>
  <w:style w:type="paragraph" w:styleId="Header">
    <w:name w:val="header"/>
    <w:basedOn w:val="Normal"/>
    <w:link w:val="HeaderChar"/>
    <w:uiPriority w:val="99"/>
    <w:rsid w:val="00714188"/>
    <w:pPr>
      <w:tabs>
        <w:tab w:val="center" w:pos="4320"/>
        <w:tab w:val="right" w:pos="8640"/>
      </w:tabs>
    </w:pPr>
  </w:style>
  <w:style w:type="character" w:customStyle="1" w:styleId="HeaderChar">
    <w:name w:val="Header Char"/>
    <w:basedOn w:val="DefaultParagraphFont"/>
    <w:link w:val="Header"/>
    <w:uiPriority w:val="99"/>
    <w:locked/>
    <w:rsid w:val="00D34B68"/>
    <w:rPr>
      <w:sz w:val="24"/>
      <w:szCs w:val="24"/>
    </w:rPr>
  </w:style>
  <w:style w:type="paragraph" w:styleId="Footer">
    <w:name w:val="footer"/>
    <w:basedOn w:val="Normal"/>
    <w:link w:val="FooterChar"/>
    <w:autoRedefine/>
    <w:uiPriority w:val="99"/>
    <w:rsid w:val="00714188"/>
    <w:pPr>
      <w:tabs>
        <w:tab w:val="center" w:pos="4320"/>
        <w:tab w:val="right" w:pos="8640"/>
      </w:tabs>
    </w:pPr>
  </w:style>
  <w:style w:type="character" w:customStyle="1" w:styleId="FooterChar">
    <w:name w:val="Footer Char"/>
    <w:basedOn w:val="DefaultParagraphFont"/>
    <w:link w:val="Footer"/>
    <w:uiPriority w:val="99"/>
    <w:semiHidden/>
    <w:locked/>
    <w:rsid w:val="00D555EF"/>
    <w:rPr>
      <w:sz w:val="24"/>
      <w:szCs w:val="24"/>
    </w:rPr>
  </w:style>
  <w:style w:type="character" w:styleId="PageNumber">
    <w:name w:val="page number"/>
    <w:basedOn w:val="DefaultParagraphFont"/>
    <w:uiPriority w:val="99"/>
    <w:rsid w:val="00714188"/>
  </w:style>
  <w:style w:type="paragraph" w:customStyle="1" w:styleId="NormalDouble">
    <w:name w:val="Normal Double"/>
    <w:basedOn w:val="Normal"/>
    <w:uiPriority w:val="99"/>
    <w:rsid w:val="00714188"/>
    <w:pPr>
      <w:spacing w:line="480" w:lineRule="auto"/>
    </w:pPr>
  </w:style>
  <w:style w:type="paragraph" w:customStyle="1" w:styleId="SONYHeading">
    <w:name w:val="SONY Heading"/>
    <w:basedOn w:val="Normal"/>
    <w:autoRedefine/>
    <w:uiPriority w:val="99"/>
    <w:rsid w:val="00714188"/>
    <w:pPr>
      <w:jc w:val="center"/>
    </w:pPr>
    <w:rPr>
      <w:sz w:val="38"/>
      <w:szCs w:val="38"/>
    </w:rPr>
  </w:style>
  <w:style w:type="paragraph" w:customStyle="1" w:styleId="AddressHeading">
    <w:name w:val="Address Heading"/>
    <w:basedOn w:val="Normal"/>
    <w:next w:val="Normal"/>
    <w:autoRedefine/>
    <w:uiPriority w:val="99"/>
    <w:rsid w:val="00714188"/>
    <w:pPr>
      <w:jc w:val="center"/>
    </w:pPr>
    <w:rPr>
      <w:b/>
      <w:bCs/>
    </w:rPr>
  </w:style>
  <w:style w:type="paragraph" w:customStyle="1" w:styleId="InternetHeading">
    <w:name w:val="Internet Heading"/>
    <w:basedOn w:val="Normal"/>
    <w:next w:val="Normal"/>
    <w:autoRedefine/>
    <w:uiPriority w:val="99"/>
    <w:rsid w:val="00714188"/>
    <w:pPr>
      <w:jc w:val="center"/>
    </w:pPr>
    <w:rPr>
      <w:b/>
      <w:bCs/>
      <w:sz w:val="16"/>
      <w:szCs w:val="16"/>
    </w:rPr>
  </w:style>
  <w:style w:type="paragraph" w:customStyle="1" w:styleId="NamesHeading">
    <w:name w:val="Names Heading"/>
    <w:basedOn w:val="Normal"/>
    <w:next w:val="Normal"/>
    <w:autoRedefine/>
    <w:uiPriority w:val="99"/>
    <w:rsid w:val="00714188"/>
    <w:rPr>
      <w:b/>
      <w:bCs/>
      <w:sz w:val="16"/>
      <w:szCs w:val="16"/>
    </w:rPr>
  </w:style>
  <w:style w:type="paragraph" w:customStyle="1" w:styleId="TitleHeading">
    <w:name w:val="Title Heading"/>
    <w:basedOn w:val="Normal"/>
    <w:next w:val="Normal"/>
    <w:autoRedefine/>
    <w:uiPriority w:val="99"/>
    <w:rsid w:val="009B57FA"/>
    <w:pPr>
      <w:tabs>
        <w:tab w:val="center" w:pos="630"/>
        <w:tab w:val="center" w:pos="9450"/>
      </w:tabs>
    </w:pPr>
    <w:rPr>
      <w:i/>
      <w:iCs/>
      <w:sz w:val="16"/>
      <w:szCs w:val="16"/>
    </w:rPr>
  </w:style>
  <w:style w:type="paragraph" w:styleId="FootnoteText">
    <w:name w:val="footnote text"/>
    <w:basedOn w:val="Normal"/>
    <w:link w:val="FootnoteTextChar"/>
    <w:uiPriority w:val="99"/>
    <w:semiHidden/>
    <w:rsid w:val="00714188"/>
    <w:pPr>
      <w:tabs>
        <w:tab w:val="left" w:pos="432"/>
      </w:tabs>
      <w:spacing w:after="120"/>
      <w:ind w:left="432" w:hanging="432"/>
    </w:pPr>
    <w:rPr>
      <w:sz w:val="20"/>
      <w:szCs w:val="20"/>
    </w:rPr>
  </w:style>
  <w:style w:type="character" w:customStyle="1" w:styleId="FootnoteTextChar">
    <w:name w:val="Footnote Text Char"/>
    <w:basedOn w:val="DefaultParagraphFont"/>
    <w:link w:val="FootnoteText"/>
    <w:uiPriority w:val="99"/>
    <w:locked/>
    <w:rsid w:val="00CF662E"/>
  </w:style>
  <w:style w:type="character" w:styleId="FootnoteReference">
    <w:name w:val="footnote reference"/>
    <w:basedOn w:val="DefaultParagraphFont"/>
    <w:uiPriority w:val="99"/>
    <w:semiHidden/>
    <w:rsid w:val="00714188"/>
    <w:rPr>
      <w:vertAlign w:val="superscript"/>
    </w:rPr>
  </w:style>
  <w:style w:type="table" w:styleId="TableGrid">
    <w:name w:val="Table Grid"/>
    <w:basedOn w:val="TableNormal"/>
    <w:uiPriority w:val="99"/>
    <w:rsid w:val="00CF66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F662E"/>
    <w:rPr>
      <w:color w:val="0000FF"/>
      <w:u w:val="single"/>
    </w:rPr>
  </w:style>
  <w:style w:type="paragraph" w:customStyle="1" w:styleId="Default">
    <w:name w:val="Default"/>
    <w:uiPriority w:val="99"/>
    <w:rsid w:val="00CF662E"/>
    <w:pPr>
      <w:autoSpaceDE w:val="0"/>
      <w:autoSpaceDN w:val="0"/>
      <w:adjustRightInd w:val="0"/>
    </w:pPr>
    <w:rPr>
      <w:color w:val="000000"/>
      <w:sz w:val="24"/>
      <w:szCs w:val="24"/>
    </w:rPr>
  </w:style>
  <w:style w:type="paragraph" w:styleId="ListParagraph">
    <w:name w:val="List Paragraph"/>
    <w:basedOn w:val="Normal"/>
    <w:uiPriority w:val="99"/>
    <w:qFormat/>
    <w:rsid w:val="003C59FC"/>
    <w:pPr>
      <w:spacing w:after="200" w:line="276" w:lineRule="auto"/>
      <w:ind w:left="720"/>
    </w:pPr>
    <w:rPr>
      <w:rFonts w:ascii="Calibri" w:hAnsi="Calibri" w:cs="Calibri"/>
      <w:sz w:val="22"/>
      <w:szCs w:val="22"/>
    </w:rPr>
  </w:style>
  <w:style w:type="paragraph" w:styleId="NormalWeb">
    <w:name w:val="Normal (Web)"/>
    <w:basedOn w:val="Normal"/>
    <w:uiPriority w:val="99"/>
    <w:rsid w:val="003C59FC"/>
    <w:pPr>
      <w:spacing w:before="100" w:beforeAutospacing="1" w:after="100" w:afterAutospacing="1"/>
    </w:pPr>
    <w:rPr>
      <w:rFonts w:ascii="Arial" w:hAnsi="Arial" w:cs="Arial"/>
    </w:rPr>
  </w:style>
  <w:style w:type="paragraph" w:customStyle="1" w:styleId="CM3">
    <w:name w:val="CM3"/>
    <w:basedOn w:val="Normal"/>
    <w:next w:val="Normal"/>
    <w:uiPriority w:val="99"/>
    <w:rsid w:val="000D4D17"/>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rsid w:val="00D34B68"/>
    <w:rPr>
      <w:rFonts w:ascii="Tahoma" w:hAnsi="Tahoma" w:cs="Tahoma"/>
      <w:sz w:val="16"/>
      <w:szCs w:val="16"/>
    </w:rPr>
  </w:style>
  <w:style w:type="character" w:customStyle="1" w:styleId="BalloonTextChar">
    <w:name w:val="Balloon Text Char"/>
    <w:basedOn w:val="DefaultParagraphFont"/>
    <w:link w:val="BalloonText"/>
    <w:uiPriority w:val="99"/>
    <w:locked/>
    <w:rsid w:val="00D34B68"/>
    <w:rPr>
      <w:rFonts w:ascii="Tahoma" w:hAnsi="Tahoma" w:cs="Tahoma"/>
      <w:sz w:val="16"/>
      <w:szCs w:val="16"/>
    </w:rPr>
  </w:style>
  <w:style w:type="character" w:styleId="CommentReference">
    <w:name w:val="annotation reference"/>
    <w:basedOn w:val="DefaultParagraphFont"/>
    <w:uiPriority w:val="99"/>
    <w:semiHidden/>
    <w:rsid w:val="00393878"/>
    <w:rPr>
      <w:sz w:val="16"/>
      <w:szCs w:val="16"/>
    </w:rPr>
  </w:style>
  <w:style w:type="paragraph" w:styleId="CommentText">
    <w:name w:val="annotation text"/>
    <w:basedOn w:val="Normal"/>
    <w:link w:val="CommentTextChar"/>
    <w:uiPriority w:val="99"/>
    <w:semiHidden/>
    <w:rsid w:val="00393878"/>
    <w:rPr>
      <w:sz w:val="20"/>
      <w:szCs w:val="20"/>
    </w:rPr>
  </w:style>
  <w:style w:type="character" w:customStyle="1" w:styleId="CommentTextChar">
    <w:name w:val="Comment Text Char"/>
    <w:basedOn w:val="DefaultParagraphFont"/>
    <w:link w:val="CommentText"/>
    <w:uiPriority w:val="99"/>
    <w:semiHidden/>
    <w:locked/>
    <w:rsid w:val="00393878"/>
    <w:rPr>
      <w:sz w:val="20"/>
      <w:szCs w:val="20"/>
    </w:rPr>
  </w:style>
  <w:style w:type="paragraph" w:styleId="CommentSubject">
    <w:name w:val="annotation subject"/>
    <w:basedOn w:val="CommentText"/>
    <w:next w:val="CommentText"/>
    <w:link w:val="CommentSubjectChar"/>
    <w:uiPriority w:val="99"/>
    <w:semiHidden/>
    <w:rsid w:val="00393878"/>
    <w:rPr>
      <w:b/>
      <w:bCs/>
    </w:rPr>
  </w:style>
  <w:style w:type="character" w:customStyle="1" w:styleId="CommentSubjectChar">
    <w:name w:val="Comment Subject Char"/>
    <w:basedOn w:val="CommentTextChar"/>
    <w:link w:val="CommentSubject"/>
    <w:uiPriority w:val="99"/>
    <w:semiHidden/>
    <w:locked/>
    <w:rsid w:val="00393878"/>
    <w:rPr>
      <w:b/>
      <w:bCs/>
      <w:sz w:val="20"/>
      <w:szCs w:val="20"/>
    </w:rPr>
  </w:style>
  <w:style w:type="paragraph" w:styleId="Revision">
    <w:name w:val="Revision"/>
    <w:hidden/>
    <w:uiPriority w:val="99"/>
    <w:semiHidden/>
    <w:rsid w:val="003938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88"/>
    <w:rPr>
      <w:sz w:val="24"/>
      <w:szCs w:val="24"/>
    </w:rPr>
  </w:style>
  <w:style w:type="paragraph" w:styleId="Heading1">
    <w:name w:val="heading 1"/>
    <w:basedOn w:val="Normal"/>
    <w:next w:val="Normal"/>
    <w:link w:val="Heading1Char"/>
    <w:uiPriority w:val="99"/>
    <w:qFormat/>
    <w:rsid w:val="00714188"/>
    <w:pPr>
      <w:keepNext/>
      <w:outlineLvl w:val="0"/>
    </w:pPr>
    <w:rPr>
      <w:b/>
      <w:bCs/>
      <w:i/>
      <w:iCs/>
      <w:sz w:val="16"/>
      <w:szCs w:val="16"/>
    </w:rPr>
  </w:style>
  <w:style w:type="paragraph" w:styleId="Heading2">
    <w:name w:val="heading 2"/>
    <w:basedOn w:val="Normal"/>
    <w:next w:val="Normal"/>
    <w:link w:val="Heading2Char"/>
    <w:uiPriority w:val="99"/>
    <w:qFormat/>
    <w:rsid w:val="00714188"/>
    <w:pPr>
      <w:keepNext/>
      <w:jc w:val="center"/>
      <w:outlineLvl w:val="1"/>
    </w:pPr>
    <w:rPr>
      <w:b/>
      <w:bCs/>
    </w:rPr>
  </w:style>
  <w:style w:type="paragraph" w:styleId="Heading3">
    <w:name w:val="heading 3"/>
    <w:basedOn w:val="Normal"/>
    <w:next w:val="Normal"/>
    <w:link w:val="Heading3Char"/>
    <w:uiPriority w:val="99"/>
    <w:qFormat/>
    <w:rsid w:val="00714188"/>
    <w:pPr>
      <w:keepNext/>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5E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555E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555EF"/>
    <w:rPr>
      <w:rFonts w:ascii="Cambria" w:hAnsi="Cambria" w:cs="Cambria"/>
      <w:b/>
      <w:bCs/>
      <w:sz w:val="26"/>
      <w:szCs w:val="26"/>
    </w:rPr>
  </w:style>
  <w:style w:type="paragraph" w:styleId="Header">
    <w:name w:val="header"/>
    <w:basedOn w:val="Normal"/>
    <w:link w:val="HeaderChar"/>
    <w:uiPriority w:val="99"/>
    <w:rsid w:val="00714188"/>
    <w:pPr>
      <w:tabs>
        <w:tab w:val="center" w:pos="4320"/>
        <w:tab w:val="right" w:pos="8640"/>
      </w:tabs>
    </w:pPr>
  </w:style>
  <w:style w:type="character" w:customStyle="1" w:styleId="HeaderChar">
    <w:name w:val="Header Char"/>
    <w:basedOn w:val="DefaultParagraphFont"/>
    <w:link w:val="Header"/>
    <w:uiPriority w:val="99"/>
    <w:locked/>
    <w:rsid w:val="00D34B68"/>
    <w:rPr>
      <w:sz w:val="24"/>
      <w:szCs w:val="24"/>
    </w:rPr>
  </w:style>
  <w:style w:type="paragraph" w:styleId="Footer">
    <w:name w:val="footer"/>
    <w:basedOn w:val="Normal"/>
    <w:link w:val="FooterChar"/>
    <w:autoRedefine/>
    <w:uiPriority w:val="99"/>
    <w:rsid w:val="00714188"/>
    <w:pPr>
      <w:tabs>
        <w:tab w:val="center" w:pos="4320"/>
        <w:tab w:val="right" w:pos="8640"/>
      </w:tabs>
    </w:pPr>
  </w:style>
  <w:style w:type="character" w:customStyle="1" w:styleId="FooterChar">
    <w:name w:val="Footer Char"/>
    <w:basedOn w:val="DefaultParagraphFont"/>
    <w:link w:val="Footer"/>
    <w:uiPriority w:val="99"/>
    <w:semiHidden/>
    <w:locked/>
    <w:rsid w:val="00D555EF"/>
    <w:rPr>
      <w:sz w:val="24"/>
      <w:szCs w:val="24"/>
    </w:rPr>
  </w:style>
  <w:style w:type="character" w:styleId="PageNumber">
    <w:name w:val="page number"/>
    <w:basedOn w:val="DefaultParagraphFont"/>
    <w:uiPriority w:val="99"/>
    <w:rsid w:val="00714188"/>
  </w:style>
  <w:style w:type="paragraph" w:customStyle="1" w:styleId="NormalDouble">
    <w:name w:val="Normal Double"/>
    <w:basedOn w:val="Normal"/>
    <w:uiPriority w:val="99"/>
    <w:rsid w:val="00714188"/>
    <w:pPr>
      <w:spacing w:line="480" w:lineRule="auto"/>
    </w:pPr>
  </w:style>
  <w:style w:type="paragraph" w:customStyle="1" w:styleId="SONYHeading">
    <w:name w:val="SONY Heading"/>
    <w:basedOn w:val="Normal"/>
    <w:autoRedefine/>
    <w:uiPriority w:val="99"/>
    <w:rsid w:val="00714188"/>
    <w:pPr>
      <w:jc w:val="center"/>
    </w:pPr>
    <w:rPr>
      <w:sz w:val="38"/>
      <w:szCs w:val="38"/>
    </w:rPr>
  </w:style>
  <w:style w:type="paragraph" w:customStyle="1" w:styleId="AddressHeading">
    <w:name w:val="Address Heading"/>
    <w:basedOn w:val="Normal"/>
    <w:next w:val="Normal"/>
    <w:autoRedefine/>
    <w:uiPriority w:val="99"/>
    <w:rsid w:val="00714188"/>
    <w:pPr>
      <w:jc w:val="center"/>
    </w:pPr>
    <w:rPr>
      <w:b/>
      <w:bCs/>
    </w:rPr>
  </w:style>
  <w:style w:type="paragraph" w:customStyle="1" w:styleId="InternetHeading">
    <w:name w:val="Internet Heading"/>
    <w:basedOn w:val="Normal"/>
    <w:next w:val="Normal"/>
    <w:autoRedefine/>
    <w:uiPriority w:val="99"/>
    <w:rsid w:val="00714188"/>
    <w:pPr>
      <w:jc w:val="center"/>
    </w:pPr>
    <w:rPr>
      <w:b/>
      <w:bCs/>
      <w:sz w:val="16"/>
      <w:szCs w:val="16"/>
    </w:rPr>
  </w:style>
  <w:style w:type="paragraph" w:customStyle="1" w:styleId="NamesHeading">
    <w:name w:val="Names Heading"/>
    <w:basedOn w:val="Normal"/>
    <w:next w:val="Normal"/>
    <w:autoRedefine/>
    <w:uiPriority w:val="99"/>
    <w:rsid w:val="00714188"/>
    <w:rPr>
      <w:b/>
      <w:bCs/>
      <w:sz w:val="16"/>
      <w:szCs w:val="16"/>
    </w:rPr>
  </w:style>
  <w:style w:type="paragraph" w:customStyle="1" w:styleId="TitleHeading">
    <w:name w:val="Title Heading"/>
    <w:basedOn w:val="Normal"/>
    <w:next w:val="Normal"/>
    <w:autoRedefine/>
    <w:uiPriority w:val="99"/>
    <w:rsid w:val="009B57FA"/>
    <w:pPr>
      <w:tabs>
        <w:tab w:val="center" w:pos="630"/>
        <w:tab w:val="center" w:pos="9450"/>
      </w:tabs>
    </w:pPr>
    <w:rPr>
      <w:i/>
      <w:iCs/>
      <w:sz w:val="16"/>
      <w:szCs w:val="16"/>
    </w:rPr>
  </w:style>
  <w:style w:type="paragraph" w:styleId="FootnoteText">
    <w:name w:val="footnote text"/>
    <w:basedOn w:val="Normal"/>
    <w:link w:val="FootnoteTextChar"/>
    <w:uiPriority w:val="99"/>
    <w:semiHidden/>
    <w:rsid w:val="00714188"/>
    <w:pPr>
      <w:tabs>
        <w:tab w:val="left" w:pos="432"/>
      </w:tabs>
      <w:spacing w:after="120"/>
      <w:ind w:left="432" w:hanging="432"/>
    </w:pPr>
    <w:rPr>
      <w:sz w:val="20"/>
      <w:szCs w:val="20"/>
    </w:rPr>
  </w:style>
  <w:style w:type="character" w:customStyle="1" w:styleId="FootnoteTextChar">
    <w:name w:val="Footnote Text Char"/>
    <w:basedOn w:val="DefaultParagraphFont"/>
    <w:link w:val="FootnoteText"/>
    <w:uiPriority w:val="99"/>
    <w:locked/>
    <w:rsid w:val="00CF662E"/>
  </w:style>
  <w:style w:type="character" w:styleId="FootnoteReference">
    <w:name w:val="footnote reference"/>
    <w:basedOn w:val="DefaultParagraphFont"/>
    <w:uiPriority w:val="99"/>
    <w:semiHidden/>
    <w:rsid w:val="00714188"/>
    <w:rPr>
      <w:vertAlign w:val="superscript"/>
    </w:rPr>
  </w:style>
  <w:style w:type="table" w:styleId="TableGrid">
    <w:name w:val="Table Grid"/>
    <w:basedOn w:val="TableNormal"/>
    <w:uiPriority w:val="99"/>
    <w:rsid w:val="00CF66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F662E"/>
    <w:rPr>
      <w:color w:val="0000FF"/>
      <w:u w:val="single"/>
    </w:rPr>
  </w:style>
  <w:style w:type="paragraph" w:customStyle="1" w:styleId="Default">
    <w:name w:val="Default"/>
    <w:uiPriority w:val="99"/>
    <w:rsid w:val="00CF662E"/>
    <w:pPr>
      <w:autoSpaceDE w:val="0"/>
      <w:autoSpaceDN w:val="0"/>
      <w:adjustRightInd w:val="0"/>
    </w:pPr>
    <w:rPr>
      <w:color w:val="000000"/>
      <w:sz w:val="24"/>
      <w:szCs w:val="24"/>
    </w:rPr>
  </w:style>
  <w:style w:type="paragraph" w:styleId="ListParagraph">
    <w:name w:val="List Paragraph"/>
    <w:basedOn w:val="Normal"/>
    <w:uiPriority w:val="99"/>
    <w:qFormat/>
    <w:rsid w:val="003C59FC"/>
    <w:pPr>
      <w:spacing w:after="200" w:line="276" w:lineRule="auto"/>
      <w:ind w:left="720"/>
    </w:pPr>
    <w:rPr>
      <w:rFonts w:ascii="Calibri" w:hAnsi="Calibri" w:cs="Calibri"/>
      <w:sz w:val="22"/>
      <w:szCs w:val="22"/>
    </w:rPr>
  </w:style>
  <w:style w:type="paragraph" w:styleId="NormalWeb">
    <w:name w:val="Normal (Web)"/>
    <w:basedOn w:val="Normal"/>
    <w:uiPriority w:val="99"/>
    <w:rsid w:val="003C59FC"/>
    <w:pPr>
      <w:spacing w:before="100" w:beforeAutospacing="1" w:after="100" w:afterAutospacing="1"/>
    </w:pPr>
    <w:rPr>
      <w:rFonts w:ascii="Arial" w:hAnsi="Arial" w:cs="Arial"/>
    </w:rPr>
  </w:style>
  <w:style w:type="paragraph" w:customStyle="1" w:styleId="CM3">
    <w:name w:val="CM3"/>
    <w:basedOn w:val="Normal"/>
    <w:next w:val="Normal"/>
    <w:uiPriority w:val="99"/>
    <w:rsid w:val="000D4D17"/>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rsid w:val="00D34B68"/>
    <w:rPr>
      <w:rFonts w:ascii="Tahoma" w:hAnsi="Tahoma" w:cs="Tahoma"/>
      <w:sz w:val="16"/>
      <w:szCs w:val="16"/>
    </w:rPr>
  </w:style>
  <w:style w:type="character" w:customStyle="1" w:styleId="BalloonTextChar">
    <w:name w:val="Balloon Text Char"/>
    <w:basedOn w:val="DefaultParagraphFont"/>
    <w:link w:val="BalloonText"/>
    <w:uiPriority w:val="99"/>
    <w:locked/>
    <w:rsid w:val="00D34B68"/>
    <w:rPr>
      <w:rFonts w:ascii="Tahoma" w:hAnsi="Tahoma" w:cs="Tahoma"/>
      <w:sz w:val="16"/>
      <w:szCs w:val="16"/>
    </w:rPr>
  </w:style>
  <w:style w:type="character" w:styleId="CommentReference">
    <w:name w:val="annotation reference"/>
    <w:basedOn w:val="DefaultParagraphFont"/>
    <w:uiPriority w:val="99"/>
    <w:semiHidden/>
    <w:rsid w:val="00393878"/>
    <w:rPr>
      <w:sz w:val="16"/>
      <w:szCs w:val="16"/>
    </w:rPr>
  </w:style>
  <w:style w:type="paragraph" w:styleId="CommentText">
    <w:name w:val="annotation text"/>
    <w:basedOn w:val="Normal"/>
    <w:link w:val="CommentTextChar"/>
    <w:uiPriority w:val="99"/>
    <w:semiHidden/>
    <w:rsid w:val="00393878"/>
    <w:rPr>
      <w:sz w:val="20"/>
      <w:szCs w:val="20"/>
    </w:rPr>
  </w:style>
  <w:style w:type="character" w:customStyle="1" w:styleId="CommentTextChar">
    <w:name w:val="Comment Text Char"/>
    <w:basedOn w:val="DefaultParagraphFont"/>
    <w:link w:val="CommentText"/>
    <w:uiPriority w:val="99"/>
    <w:semiHidden/>
    <w:locked/>
    <w:rsid w:val="00393878"/>
    <w:rPr>
      <w:sz w:val="20"/>
      <w:szCs w:val="20"/>
    </w:rPr>
  </w:style>
  <w:style w:type="paragraph" w:styleId="CommentSubject">
    <w:name w:val="annotation subject"/>
    <w:basedOn w:val="CommentText"/>
    <w:next w:val="CommentText"/>
    <w:link w:val="CommentSubjectChar"/>
    <w:uiPriority w:val="99"/>
    <w:semiHidden/>
    <w:rsid w:val="00393878"/>
    <w:rPr>
      <w:b/>
      <w:bCs/>
    </w:rPr>
  </w:style>
  <w:style w:type="character" w:customStyle="1" w:styleId="CommentSubjectChar">
    <w:name w:val="Comment Subject Char"/>
    <w:basedOn w:val="CommentTextChar"/>
    <w:link w:val="CommentSubject"/>
    <w:uiPriority w:val="99"/>
    <w:semiHidden/>
    <w:locked/>
    <w:rsid w:val="00393878"/>
    <w:rPr>
      <w:b/>
      <w:bCs/>
      <w:sz w:val="20"/>
      <w:szCs w:val="20"/>
    </w:rPr>
  </w:style>
  <w:style w:type="paragraph" w:styleId="Revision">
    <w:name w:val="Revision"/>
    <w:hidden/>
    <w:uiPriority w:val="99"/>
    <w:semiHidden/>
    <w:rsid w:val="00393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9226">
      <w:marLeft w:val="0"/>
      <w:marRight w:val="0"/>
      <w:marTop w:val="0"/>
      <w:marBottom w:val="0"/>
      <w:divBdr>
        <w:top w:val="none" w:sz="0" w:space="0" w:color="auto"/>
        <w:left w:val="none" w:sz="0" w:space="0" w:color="auto"/>
        <w:bottom w:val="none" w:sz="0" w:space="0" w:color="auto"/>
        <w:right w:val="none" w:sz="0" w:space="0" w:color="auto"/>
      </w:divBdr>
      <w:divsChild>
        <w:div w:id="1474719227">
          <w:marLeft w:val="0"/>
          <w:marRight w:val="0"/>
          <w:marTop w:val="0"/>
          <w:marBottom w:val="0"/>
          <w:divBdr>
            <w:top w:val="none" w:sz="0" w:space="0" w:color="auto"/>
            <w:left w:val="none" w:sz="0" w:space="0" w:color="auto"/>
            <w:bottom w:val="none" w:sz="0" w:space="0" w:color="auto"/>
            <w:right w:val="none" w:sz="0" w:space="0" w:color="auto"/>
          </w:divBdr>
          <w:divsChild>
            <w:div w:id="1474719228">
              <w:marLeft w:val="0"/>
              <w:marRight w:val="0"/>
              <w:marTop w:val="0"/>
              <w:marBottom w:val="0"/>
              <w:divBdr>
                <w:top w:val="none" w:sz="0" w:space="0" w:color="auto"/>
                <w:left w:val="none" w:sz="0" w:space="0" w:color="auto"/>
                <w:bottom w:val="none" w:sz="0" w:space="0" w:color="auto"/>
                <w:right w:val="none" w:sz="0" w:space="0" w:color="auto"/>
              </w:divBdr>
              <w:divsChild>
                <w:div w:id="1474719225">
                  <w:marLeft w:val="0"/>
                  <w:marRight w:val="0"/>
                  <w:marTop w:val="0"/>
                  <w:marBottom w:val="0"/>
                  <w:divBdr>
                    <w:top w:val="none" w:sz="0" w:space="0" w:color="auto"/>
                    <w:left w:val="none" w:sz="0" w:space="0" w:color="auto"/>
                    <w:bottom w:val="none" w:sz="0" w:space="0" w:color="auto"/>
                    <w:right w:val="none" w:sz="0" w:space="0" w:color="auto"/>
                  </w:divBdr>
                  <w:divsChild>
                    <w:div w:id="14747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esses@galaxyenergyus.com" TargetMode="External"/><Relationship Id="rId21" Type="http://schemas.openxmlformats.org/officeDocument/2006/relationships/footer" Target="footer3.xml"/><Relationship Id="rId42" Type="http://schemas.openxmlformats.org/officeDocument/2006/relationships/hyperlink" Target="mailto:bill@aggressiveny.com" TargetMode="External"/><Relationship Id="rId47" Type="http://schemas.openxmlformats.org/officeDocument/2006/relationships/hyperlink" Target="mailto:bruno@flanderenergy.com" TargetMode="External"/><Relationship Id="rId63" Type="http://schemas.openxmlformats.org/officeDocument/2006/relationships/hyperlink" Target="mailto:david.tudor@championenergyservices.com" TargetMode="External"/><Relationship Id="rId68" Type="http://schemas.openxmlformats.org/officeDocument/2006/relationships/hyperlink" Target="mailto:deborah.merril@hudsonenergy.net" TargetMode="External"/><Relationship Id="rId84" Type="http://schemas.openxmlformats.org/officeDocument/2006/relationships/hyperlink" Target="mailto:fdeaguero@mansfieldpowergas.com" TargetMode="External"/><Relationship Id="rId89" Type="http://schemas.openxmlformats.org/officeDocument/2006/relationships/hyperlink" Target="mailto:George@greenlightenergy.us" TargetMode="External"/><Relationship Id="rId112" Type="http://schemas.openxmlformats.org/officeDocument/2006/relationships/hyperlink" Target="mailto:jdelvecchio@nfrinc.com" TargetMode="External"/><Relationship Id="rId2" Type="http://schemas.openxmlformats.org/officeDocument/2006/relationships/numbering" Target="numbering.xml"/><Relationship Id="rId16" Type="http://schemas.openxmlformats.org/officeDocument/2006/relationships/hyperlink" Target="mailto:kirschbaumk@coned.com" TargetMode="External"/><Relationship Id="rId29" Type="http://schemas.openxmlformats.org/officeDocument/2006/relationships/hyperlink" Target="mailto:alan.schwab@genie.com" TargetMode="External"/><Relationship Id="rId107" Type="http://schemas.openxmlformats.org/officeDocument/2006/relationships/hyperlink" Target="mailto:jchen@apgellc.com" TargetMode="External"/><Relationship Id="rId11" Type="http://schemas.openxmlformats.org/officeDocument/2006/relationships/footer" Target="footer1.xml"/><Relationship Id="rId24" Type="http://schemas.openxmlformats.org/officeDocument/2006/relationships/hyperlink" Target="mailto:abe@northenergy.net" TargetMode="External"/><Relationship Id="rId32" Type="http://schemas.openxmlformats.org/officeDocument/2006/relationships/hyperlink" Target="mailto:ameristar123@optimum.net" TargetMode="External"/><Relationship Id="rId37" Type="http://schemas.openxmlformats.org/officeDocument/2006/relationships/hyperlink" Target="mailto:arosen1@entergy.com" TargetMode="External"/><Relationship Id="rId40" Type="http://schemas.openxmlformats.org/officeDocument/2006/relationships/hyperlink" Target="mailto:bdmap@aol.com" TargetMode="External"/><Relationship Id="rId45" Type="http://schemas.openxmlformats.org/officeDocument/2006/relationships/hyperlink" Target="mailto:bpatrick@infiniteenergy.com" TargetMode="External"/><Relationship Id="rId53" Type="http://schemas.openxmlformats.org/officeDocument/2006/relationships/hyperlink" Target="mailto:cburke@noco.com" TargetMode="External"/><Relationship Id="rId58" Type="http://schemas.openxmlformats.org/officeDocument/2006/relationships/hyperlink" Target="mailto:contact@NextEnergyServices.com" TargetMode="External"/><Relationship Id="rId66" Type="http://schemas.openxmlformats.org/officeDocument/2006/relationships/hyperlink" Target="mailto:davidl@llenergyny.com" TargetMode="External"/><Relationship Id="rId74" Type="http://schemas.openxmlformats.org/officeDocument/2006/relationships/hyperlink" Target="mailto:drobbins@sjindustries.com" TargetMode="External"/><Relationship Id="rId79" Type="http://schemas.openxmlformats.org/officeDocument/2006/relationships/hyperlink" Target="mailto:eli@dynamicpl.com" TargetMode="External"/><Relationship Id="rId87" Type="http://schemas.openxmlformats.org/officeDocument/2006/relationships/hyperlink" Target="mailto:gary@econopowers.com" TargetMode="External"/><Relationship Id="rId102" Type="http://schemas.openxmlformats.org/officeDocument/2006/relationships/hyperlink" Target="mailto:jansenee@dteenergy.com" TargetMode="External"/><Relationship Id="rId110" Type="http://schemas.openxmlformats.org/officeDocument/2006/relationships/hyperlink" Target="mailto:jdcook@pplweb.com" TargetMode="External"/><Relationship Id="rId5" Type="http://schemas.openxmlformats.org/officeDocument/2006/relationships/settings" Target="settings.xml"/><Relationship Id="rId61" Type="http://schemas.openxmlformats.org/officeDocument/2006/relationships/hyperlink" Target="mailto:cweaver@apgellc.com" TargetMode="External"/><Relationship Id="rId82" Type="http://schemas.openxmlformats.org/officeDocument/2006/relationships/hyperlink" Target="mailto:fcenergyinc@gmail.com" TargetMode="External"/><Relationship Id="rId90" Type="http://schemas.openxmlformats.org/officeDocument/2006/relationships/hyperlink" Target="mailto:ghaggarty@yourfamilyenergy.com" TargetMode="External"/><Relationship Id="rId95" Type="http://schemas.openxmlformats.org/officeDocument/2006/relationships/hyperlink" Target="mailto:harry@northenergy.net" TargetMode="External"/><Relationship Id="rId19" Type="http://schemas.openxmlformats.org/officeDocument/2006/relationships/hyperlink" Target="mailto:Jeremy.euto@nationalgrid.com" TargetMode="External"/><Relationship Id="rId14" Type="http://schemas.openxmlformats.org/officeDocument/2006/relationships/hyperlink" Target="mailto:ufogel@aol.com" TargetMode="External"/><Relationship Id="rId22" Type="http://schemas.openxmlformats.org/officeDocument/2006/relationships/hyperlink" Target="mailto:Robert.freeman@dos.ny.gov" TargetMode="External"/><Relationship Id="rId27" Type="http://schemas.openxmlformats.org/officeDocument/2006/relationships/hyperlink" Target="mailto:agralla@abnenergy.com" TargetMode="External"/><Relationship Id="rId30" Type="http://schemas.openxmlformats.org/officeDocument/2006/relationships/hyperlink" Target="mailto:alberto.daire@libertypowercorp.com" TargetMode="External"/><Relationship Id="rId35" Type="http://schemas.openxmlformats.org/officeDocument/2006/relationships/hyperlink" Target="mailto:ardah@lighthouseenergygroup.com" TargetMode="External"/><Relationship Id="rId43" Type="http://schemas.openxmlformats.org/officeDocument/2006/relationships/hyperlink" Target="mailto:bobwoodruff@woodruffenergy.com" TargetMode="External"/><Relationship Id="rId48" Type="http://schemas.openxmlformats.org/officeDocument/2006/relationships/hyperlink" Target="mailto:bserratore@premierempireenergy.com" TargetMode="External"/><Relationship Id="rId56" Type="http://schemas.openxmlformats.org/officeDocument/2006/relationships/hyperlink" Target="mailto:chris.kallaher@directenergy.com" TargetMode="External"/><Relationship Id="rId64" Type="http://schemas.openxmlformats.org/officeDocument/2006/relationships/hyperlink" Target="mailto:david@alphagne.com" TargetMode="External"/><Relationship Id="rId69" Type="http://schemas.openxmlformats.org/officeDocument/2006/relationships/hyperlink" Target="mailto:djverbanac@integrysenergy.com" TargetMode="External"/><Relationship Id="rId77" Type="http://schemas.openxmlformats.org/officeDocument/2006/relationships/hyperlink" Target="mailto:dtarsa@maincareenergy.com" TargetMode="External"/><Relationship Id="rId100" Type="http://schemas.openxmlformats.org/officeDocument/2006/relationships/hyperlink" Target="mailto:info@northeastenergy.com" TargetMode="External"/><Relationship Id="rId105" Type="http://schemas.openxmlformats.org/officeDocument/2006/relationships/hyperlink" Target="mailto:jbohm@dualfuelcorp.com"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carey.drangula@glacialenergy.com" TargetMode="External"/><Relationship Id="rId72" Type="http://schemas.openxmlformats.org/officeDocument/2006/relationships/hyperlink" Target="mailto:dpenharlow@noco.com" TargetMode="External"/><Relationship Id="rId80" Type="http://schemas.openxmlformats.org/officeDocument/2006/relationships/hyperlink" Target="mailto:esweeney@globalp.com" TargetMode="External"/><Relationship Id="rId85" Type="http://schemas.openxmlformats.org/officeDocument/2006/relationships/hyperlink" Target="mailto:flord@hopenergy.com" TargetMode="External"/><Relationship Id="rId93" Type="http://schemas.openxmlformats.org/officeDocument/2006/relationships/hyperlink" Target="mailto:globalenergygroupllc@gmail.com" TargetMode="External"/><Relationship Id="rId98" Type="http://schemas.openxmlformats.org/officeDocument/2006/relationships/hyperlink" Target="mailto:iminhas@superiorenergy.c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revillem@natfuel.com" TargetMode="External"/><Relationship Id="rId25" Type="http://schemas.openxmlformats.org/officeDocument/2006/relationships/hyperlink" Target="mailto:abiney@titannatgas.com" TargetMode="External"/><Relationship Id="rId33" Type="http://schemas.openxmlformats.org/officeDocument/2006/relationships/hyperlink" Target="mailto:ami.schwab@genie.com" TargetMode="External"/><Relationship Id="rId38" Type="http://schemas.openxmlformats.org/officeDocument/2006/relationships/hyperlink" Target="mailto:asokol@plymouthenergy.com" TargetMode="External"/><Relationship Id="rId46" Type="http://schemas.openxmlformats.org/officeDocument/2006/relationships/hyperlink" Target="mailto:brownsfuel@si.rr.com" TargetMode="External"/><Relationship Id="rId59" Type="http://schemas.openxmlformats.org/officeDocument/2006/relationships/hyperlink" Target="mailto:cory@energydiscounters.net" TargetMode="External"/><Relationship Id="rId67" Type="http://schemas.openxmlformats.org/officeDocument/2006/relationships/hyperlink" Target="mailto:dbgeyer@perigeeenergy.com" TargetMode="External"/><Relationship Id="rId103" Type="http://schemas.openxmlformats.org/officeDocument/2006/relationships/hyperlink" Target="mailto:JasonFox@astralenergyllc.com" TargetMode="External"/><Relationship Id="rId108" Type="http://schemas.openxmlformats.org/officeDocument/2006/relationships/hyperlink" Target="mailto:jclaussen@lumensenergy.com" TargetMode="External"/><Relationship Id="rId20" Type="http://schemas.openxmlformats.org/officeDocument/2006/relationships/hyperlink" Target="mailto:acevedoe@coned.com" TargetMode="External"/><Relationship Id="rId41" Type="http://schemas.openxmlformats.org/officeDocument/2006/relationships/hyperlink" Target="mailto:bgoddard@noblesolutions.com" TargetMode="External"/><Relationship Id="rId54" Type="http://schemas.openxmlformats.org/officeDocument/2006/relationships/hyperlink" Target="mailto:cherie.fuller@edfenergyservices.com" TargetMode="External"/><Relationship Id="rId62" Type="http://schemas.openxmlformats.org/officeDocument/2006/relationships/hyperlink" Target="mailto:dangianfalla@vrtcorp.com" TargetMode="External"/><Relationship Id="rId70" Type="http://schemas.openxmlformats.org/officeDocument/2006/relationships/hyperlink" Target="mailto:dklein@amplifiedpg.com" TargetMode="External"/><Relationship Id="rId75" Type="http://schemas.openxmlformats.org/officeDocument/2006/relationships/hyperlink" Target="mailto:drosner@countyenergycorp.com" TargetMode="External"/><Relationship Id="rId83" Type="http://schemas.openxmlformats.org/officeDocument/2006/relationships/hyperlink" Target="mailto:fcotter@colonialenergy.com" TargetMode="External"/><Relationship Id="rId88" Type="http://schemas.openxmlformats.org/officeDocument/2006/relationships/hyperlink" Target="mailto:gdavid@entraenergy.com" TargetMode="External"/><Relationship Id="rId91" Type="http://schemas.openxmlformats.org/officeDocument/2006/relationships/hyperlink" Target="mailto:ghodges@sparkenergy.com" TargetMode="External"/><Relationship Id="rId96" Type="http://schemas.openxmlformats.org/officeDocument/2006/relationships/hyperlink" Target="mailto:hendler@etsemerald.com" TargetMode="External"/><Relationship Id="rId111" Type="http://schemas.openxmlformats.org/officeDocument/2006/relationships/hyperlink" Target="mailto:jdeering@nordicenergy-u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colbert@cenhud.com" TargetMode="External"/><Relationship Id="rId23" Type="http://schemas.openxmlformats.org/officeDocument/2006/relationships/hyperlink" Target="mailto:abe@lightpowerandgas.com" TargetMode="External"/><Relationship Id="rId28" Type="http://schemas.openxmlformats.org/officeDocument/2006/relationships/hyperlink" Target="mailto:ahunt@ugies.com" TargetMode="External"/><Relationship Id="rId36" Type="http://schemas.openxmlformats.org/officeDocument/2006/relationships/hyperlink" Target="mailto:arharris@ambitenergy.com" TargetMode="External"/><Relationship Id="rId49" Type="http://schemas.openxmlformats.org/officeDocument/2006/relationships/hyperlink" Target="mailto:btrombino@uerus.com" TargetMode="External"/><Relationship Id="rId57" Type="http://schemas.openxmlformats.org/officeDocument/2006/relationships/hyperlink" Target="mailto:chrisf@approvedoil.com" TargetMode="External"/><Relationship Id="rId106" Type="http://schemas.openxmlformats.org/officeDocument/2006/relationships/hyperlink" Target="mailto:jbowen@fcrc.com" TargetMode="Externa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mailto:alexg@eligoenergy.com" TargetMode="External"/><Relationship Id="rId44" Type="http://schemas.openxmlformats.org/officeDocument/2006/relationships/hyperlink" Target="mailto:bpalka@gridwayenergy.com" TargetMode="External"/><Relationship Id="rId52" Type="http://schemas.openxmlformats.org/officeDocument/2006/relationships/hyperlink" Target="mailto:carl.williams@entrustenergy.com" TargetMode="External"/><Relationship Id="rId60" Type="http://schemas.openxmlformats.org/officeDocument/2006/relationships/hyperlink" Target="mailto:ctalawman@aol.com" TargetMode="External"/><Relationship Id="rId65" Type="http://schemas.openxmlformats.org/officeDocument/2006/relationships/hyperlink" Target="mailto:david@konaenergy.com" TargetMode="External"/><Relationship Id="rId73" Type="http://schemas.openxmlformats.org/officeDocument/2006/relationships/hyperlink" Target="mailto:dpinto@infiniteenergycorp.com" TargetMode="External"/><Relationship Id="rId78" Type="http://schemas.openxmlformats.org/officeDocument/2006/relationships/hyperlink" Target="mailto:dwitkowski@villagehamburg.com" TargetMode="External"/><Relationship Id="rId81" Type="http://schemas.openxmlformats.org/officeDocument/2006/relationships/hyperlink" Target="mailto:execs@clearviewelectric.net" TargetMode="External"/><Relationship Id="rId86" Type="http://schemas.openxmlformats.org/officeDocument/2006/relationships/hyperlink" Target="mailto:Franklin.Hecht@ogs.ny.gov" TargetMode="External"/><Relationship Id="rId94" Type="http://schemas.openxmlformats.org/officeDocument/2006/relationships/hyperlink" Target="mailto:gmar@energymarkllc.com" TargetMode="External"/><Relationship Id="rId99" Type="http://schemas.openxmlformats.org/officeDocument/2006/relationships/hyperlink" Target="mailto:info@atlantisbusinessconsulting.com" TargetMode="External"/><Relationship Id="rId101" Type="http://schemas.openxmlformats.org/officeDocument/2006/relationships/hyperlink" Target="mailto:info@unitedenergysupply.com"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mailto:Gnorland44@gmail.com" TargetMode="External"/><Relationship Id="rId18" Type="http://schemas.openxmlformats.org/officeDocument/2006/relationships/hyperlink" Target="mailto:Patric.r.obrien@us.ngrid.com" TargetMode="External"/><Relationship Id="rId39" Type="http://schemas.openxmlformats.org/officeDocument/2006/relationships/hyperlink" Target="mailto:aundrea.williams@gexaenergy.com" TargetMode="External"/><Relationship Id="rId109" Type="http://schemas.openxmlformats.org/officeDocument/2006/relationships/hyperlink" Target="mailto:jdavids@justenergy.com" TargetMode="External"/><Relationship Id="rId34" Type="http://schemas.openxmlformats.org/officeDocument/2006/relationships/hyperlink" Target="mailto:amilanese@ecpowerandgas.com" TargetMode="External"/><Relationship Id="rId50" Type="http://schemas.openxmlformats.org/officeDocument/2006/relationships/hyperlink" Target="mailto:capellaenergygas@gmail.com" TargetMode="External"/><Relationship Id="rId55" Type="http://schemas.openxmlformats.org/officeDocument/2006/relationships/hyperlink" Target="mailto:chris.hendrix@texasretailenergy.com" TargetMode="External"/><Relationship Id="rId76" Type="http://schemas.openxmlformats.org/officeDocument/2006/relationships/hyperlink" Target="mailto:dsinger@robisonoil.com" TargetMode="External"/><Relationship Id="rId97" Type="http://schemas.openxmlformats.org/officeDocument/2006/relationships/hyperlink" Target="mailto:hklein@hikoenergy.com" TargetMode="External"/><Relationship Id="rId104" Type="http://schemas.openxmlformats.org/officeDocument/2006/relationships/hyperlink" Target="mailto:jay.hellums@frontierutilities.com" TargetMode="External"/><Relationship Id="rId7" Type="http://schemas.openxmlformats.org/officeDocument/2006/relationships/footnotes" Target="footnotes.xml"/><Relationship Id="rId71" Type="http://schemas.openxmlformats.org/officeDocument/2006/relationships/hyperlink" Target="mailto:DMarcille@USGandE.com" TargetMode="External"/><Relationship Id="rId92" Type="http://schemas.openxmlformats.org/officeDocument/2006/relationships/hyperlink" Target="mailto:gina.licul@1energygroup.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xis.com/research/buttonTFLink?_m=7b881b9dfbe52ee7c9efabfbce73b0fd&amp;_xfercite=%3ccite%20cc%3d%22USA%22%3e%3c%21%5bCDATA%5b169%20Misc.%202d%20924%5d%5d%3e%3c%2fcite%3e&amp;_butType=3&amp;_butStat=2&amp;_butNum=42&amp;_butInline=1&amp;_butinfo=%3ccite%20cc%3d%22USA%22%3e%3c%21%5bCDATA%5b168%20P.U.R.4th%20515%5d%5d%3e%3c%2fcite%3e&amp;_fmtstr=FULL&amp;docnum=2&amp;_startdoc=1&amp;wchp=dGLzVzB-zSkAl&amp;_md5=5a176e85cfe6d67c5277933f9757d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8DAC-C768-4241-9499-18246750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STATE OF NEW YORK</vt:lpstr>
    </vt:vector>
  </TitlesOfParts>
  <Company>Dept. of Public Service</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creator>sandra bruce</dc:creator>
  <cp:lastModifiedBy>PULP</cp:lastModifiedBy>
  <cp:revision>2</cp:revision>
  <cp:lastPrinted>2003-05-19T18:00:00Z</cp:lastPrinted>
  <dcterms:created xsi:type="dcterms:W3CDTF">2014-03-27T21:00:00Z</dcterms:created>
  <dcterms:modified xsi:type="dcterms:W3CDTF">2014-03-27T21:00:00Z</dcterms:modified>
</cp:coreProperties>
</file>